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r w:rsidR="00DF04A0" w:rsidRPr="00DF04A0">
        <w:rPr>
          <w:rFonts w:ascii="Arial" w:hAnsi="Arial" w:cs="Arial"/>
          <w:color w:val="000000"/>
          <w:highlight w:val="lightGray"/>
        </w:rPr>
        <w:t>.</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2C8E28A9" w14:textId="77777777" w:rsidR="0080359D" w:rsidRPr="004F49BB" w:rsidRDefault="0080359D">
      <w:pPr>
        <w:pStyle w:val="Prrafodelista"/>
        <w:numPr>
          <w:ilvl w:val="1"/>
          <w:numId w:val="20"/>
        </w:numPr>
        <w:spacing w:line="276" w:lineRule="auto"/>
        <w:ind w:left="709" w:hanging="567"/>
        <w:rPr>
          <w:b w:val="0"/>
          <w:bCs w:val="0"/>
          <w:color w:val="000000"/>
        </w:rPr>
      </w:pPr>
      <w:r>
        <w:rPr>
          <w:b w:val="0"/>
          <w:bCs w:val="0"/>
          <w:color w:val="000000"/>
        </w:rPr>
        <w:t xml:space="preserve">Resolución de Superintendencia </w:t>
      </w:r>
      <w:r>
        <w:rPr>
          <w:b w:val="0"/>
          <w:bCs w:val="0"/>
          <w:color w:val="EE0000"/>
        </w:rPr>
        <w:t>N.° [XXX]-</w:t>
      </w:r>
      <w:r>
        <w:rPr>
          <w:b w:val="0"/>
          <w:bCs w:val="0"/>
          <w:color w:val="000000"/>
        </w:rPr>
        <w:t xml:space="preserve">2026/SUNAT, que aprueba la </w:t>
      </w:r>
      <w:r>
        <w:rPr>
          <w:b w:val="0"/>
          <w:bCs w:val="0"/>
          <w:highlight w:val="yellow"/>
        </w:rPr>
        <w:t>Política de Uso Seguro, Responsable y Ético de los SBIA</w:t>
      </w:r>
      <w:r>
        <w:rPr>
          <w:b w:val="0"/>
          <w:bCs w:val="0"/>
          <w:color w:val="000000"/>
        </w:rPr>
        <w:t xml:space="preserve"> en la SUNAT.</w:t>
      </w:r>
    </w:p>
    <w:p w14:paraId="64BA9802"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1EE06D1E" w:rsidR="0033689D" w:rsidRPr="00BA798A" w:rsidRDefault="0033689D">
      <w:pPr>
        <w:pStyle w:val="Prrafodelista"/>
        <w:numPr>
          <w:ilvl w:val="1"/>
          <w:numId w:val="8"/>
        </w:numPr>
        <w:spacing w:after="0" w:line="276" w:lineRule="auto"/>
        <w:ind w:left="709" w:hanging="709"/>
        <w:rPr>
          <w:b w:val="0"/>
          <w:bCs w:val="0"/>
          <w:color w:val="000000"/>
          <w:highlight w:val="lightGray"/>
        </w:rPr>
      </w:pPr>
      <w:r w:rsidRPr="00BA798A">
        <w:rPr>
          <w:color w:val="000000"/>
          <w:highlight w:val="lightGray"/>
        </w:rPr>
        <w:t>Propietario de</w:t>
      </w:r>
      <w:r w:rsidR="00BA798A">
        <w:rPr>
          <w:color w:val="000000"/>
          <w:highlight w:val="lightGray"/>
        </w:rPr>
        <w:t>l</w:t>
      </w:r>
      <w:r w:rsidRPr="00BA798A">
        <w:rPr>
          <w:color w:val="000000"/>
          <w:highlight w:val="lightGray"/>
        </w:rPr>
        <w:t xml:space="preserve"> caso de uso: </w:t>
      </w:r>
      <w:r w:rsidR="00BA798A" w:rsidRPr="00BA798A">
        <w:rPr>
          <w:b w:val="0"/>
          <w:bCs w:val="0"/>
          <w:color w:val="000000"/>
          <w:highlight w:val="lightGray"/>
        </w:rPr>
        <w:t>Unidad de organización que, de acuerdo con sus competencias y funciones en el ROF, es el dueño del proceso en el que se identifica la necesidad a atender mediante un SBIA y que asume la responsabilidad funcional sobre sus resultados durante todo su ciclo de vida. Se distingue del custodio técnico, a cargo de la arquitectura y la operación del SBIA. [METGEP, numeral 4.9; METDONI, numeral 4.6; NTP-ISO/IEC 42001:2025, cláusula 5.3]</w:t>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w:t>
      </w:r>
      <w:r w:rsidR="00025734" w:rsidRPr="00025734">
        <w:rPr>
          <w:rFonts w:ascii="Arial" w:hAnsi="Arial" w:cs="Arial"/>
          <w:color w:val="000000"/>
          <w:highlight w:val="lightGray"/>
        </w:rPr>
        <w:t xml:space="preserve">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4D52260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Son funciones de la Comisión de Gobierno de IA, en apoyo al CGTD:</w:t>
      </w:r>
    </w:p>
    <w:p w14:paraId="638900C7"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Preparar la propuesta de estrategia institucional de IA y sus actualizaciones, para aprobación del CGTD.</w:t>
      </w:r>
    </w:p>
    <w:p w14:paraId="19EFBB4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 xml:space="preserve">Evaluar los casos de uso de SBIA propuestos por los órganos de línea (generación de valor, viabilidad técnica, legal, ética y operativa, y </w:t>
      </w:r>
      <w:r>
        <w:rPr>
          <w:b w:val="0"/>
          <w:bCs w:val="0"/>
          <w:color w:val="000000"/>
        </w:rPr>
        <w:lastRenderedPageBreak/>
        <w:t>estimación de inversión y costos recurrentes) y elevar al CGTD la recomendación fundamentada de aprobación o no procedencia.</w:t>
      </w:r>
    </w:p>
    <w:p w14:paraId="1CF00BE7"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Proponer al CGTD la clasificación de riesgo de cada SBIA, previo al inicio del desarrollo o adquisición.</w:t>
      </w:r>
    </w:p>
    <w:p w14:paraId="40055B7C" w14:textId="77777777" w:rsidR="0018222F" w:rsidRPr="00E34945" w:rsidRDefault="002102ED" w:rsidP="003204D8">
      <w:pPr>
        <w:pStyle w:val="Prrafodelista"/>
        <w:numPr>
          <w:ilvl w:val="0"/>
          <w:numId w:val="9"/>
        </w:numPr>
        <w:spacing w:before="0" w:after="60" w:line="276" w:lineRule="auto"/>
        <w:ind w:left="1701" w:hanging="425"/>
        <w:rPr>
          <w:b w:val="0"/>
          <w:bCs w:val="0"/>
          <w:color w:val="EE0000"/>
        </w:rPr>
      </w:pPr>
      <w:r>
        <w:rPr>
          <w:b w:val="0"/>
          <w:bCs w:val="0"/>
          <w:color w:val="000000"/>
          <w:highlight w:val="cyan"/>
        </w:rPr>
        <w:t>Asegurar el cumplimiento del Gobierno de IA en la SUNAT.</w:t>
      </w:r>
    </w:p>
    <w:p w14:paraId="2893713A"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Coordinar la elaboración de las evaluaciones de impacto algorítmico y elevar sus conclusiones al CGTD.</w:t>
      </w:r>
    </w:p>
    <w:p w14:paraId="3B6B74FE"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Administrar el Inventario Institucional de SBIA.</w:t>
      </w:r>
    </w:p>
    <w:p w14:paraId="24741396"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Supervisar el cumplimiento de los hitos de aprobación del ciclo de vida de los SBIA y consolidar los informes de monitoreo, auditoría e incidentes para conocimiento del CGTD.</w:t>
      </w:r>
    </w:p>
    <w:p w14:paraId="142016C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Proponer lineamientos técnicos complementarios en materia de gobierno de IA y coordinar la articulación con la SGTD-PCM.</w:t>
      </w:r>
    </w:p>
    <w:p w14:paraId="2E163CAA" w14:textId="77777777" w:rsidR="0018147B" w:rsidRDefault="00000000" w:rsidP="003204D8">
      <w:pPr>
        <w:pStyle w:val="Prrafodelista"/>
        <w:numPr>
          <w:ilvl w:val="0"/>
          <w:numId w:val="9"/>
        </w:numPr>
        <w:spacing w:before="0" w:after="60" w:line="276" w:lineRule="auto"/>
        <w:ind w:left="1701" w:hanging="425"/>
        <w:rPr>
          <w:b w:val="0"/>
          <w:bCs w:val="0"/>
          <w:color w:val="000000"/>
        </w:rPr>
      </w:pPr>
      <w:r>
        <w:rPr>
          <w:b w:val="0"/>
          <w:bCs w:val="0"/>
          <w:color w:val="000000"/>
          <w:highlight w:val="yellow"/>
        </w:rPr>
        <w:t>Administrar y centralizar la evaluación de los riesgos de los SBIA.</w:t>
      </w:r>
    </w:p>
    <w:p w14:paraId="262208F8" w14:textId="77777777" w:rsidR="00836DA1" w:rsidRDefault="00000000" w:rsidP="00E34945">
      <w:pPr>
        <w:pStyle w:val="Prrafodelista"/>
        <w:numPr>
          <w:ilvl w:val="0"/>
          <w:numId w:val="9"/>
        </w:numPr>
        <w:spacing w:before="0" w:after="60" w:line="276" w:lineRule="auto"/>
        <w:ind w:left="1701" w:hanging="425"/>
        <w:rPr>
          <w:b w:val="0"/>
          <w:bCs w:val="0"/>
          <w:highlight w:val="cyan"/>
        </w:rPr>
      </w:pPr>
      <w:r>
        <w:rPr>
          <w:b w:val="0"/>
          <w:bCs w:val="0"/>
          <w:highlight w:val="cyan"/>
        </w:rPr>
        <w:t>Convocar a otras unidades de organización y a especialistas adicionales según la materia y la complejidad del caso de uso.</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lastRenderedPageBreak/>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tratamiento de datos personales: asegura el tratamiento adecuado de los datos personales en el desarrollo, implementación y </w:t>
            </w:r>
            <w:r>
              <w:rPr>
                <w:b w:val="0"/>
                <w:bCs w:val="0"/>
                <w:color w:val="000000"/>
                <w:highlight w:val="yellow"/>
              </w:rPr>
              <w:lastRenderedPageBreak/>
              <w:t>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lastRenderedPageBreak/>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77777777" w:rsidR="00B34A74" w:rsidRPr="00923C59" w:rsidRDefault="00B34A74" w:rsidP="00904C72">
            <w:pPr>
              <w:spacing w:before="20" w:after="20" w:line="276" w:lineRule="auto"/>
              <w:rPr>
                <w:rFonts w:ascii="Arial" w:hAnsi="Arial" w:cs="Arial"/>
              </w:rPr>
            </w:pPr>
            <w:r>
              <w:rPr>
                <w:rFonts w:ascii="Arial" w:eastAsia="Arial" w:hAnsi="Arial" w:cs="Arial"/>
              </w:rPr>
              <w:t>Ger. Seg. Información / Of. 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F73E3F" w14:textId="77777777" w:rsidR="00B34A74" w:rsidRDefault="00B34A74" w:rsidP="00904C72">
            <w:pPr>
              <w:pStyle w:val="Prrafodelista"/>
              <w:numPr>
                <w:ilvl w:val="0"/>
                <w:numId w:val="16"/>
              </w:numPr>
              <w:spacing w:before="20" w:after="20" w:line="276" w:lineRule="auto"/>
              <w:ind w:left="299" w:hanging="283"/>
              <w:jc w:val="left"/>
              <w:rPr>
                <w:b w:val="0"/>
                <w:bCs w:val="0"/>
              </w:rPr>
            </w:pPr>
            <w:commentRangeStart w:id="6"/>
            <w:r>
              <w:rPr>
                <w:b w:val="0"/>
                <w:bCs w:val="0"/>
                <w:highlight w:val="yellow"/>
              </w:rPr>
              <w:t>Audita los procesos del Sistema de Gestión de Seguridad de la Información que soportan a los SBIA (GSI).</w:t>
            </w:r>
            <w:commentRangeEnd w:id="6"/>
            <w:r w:rsidR="00DE41F6">
              <w:rPr>
                <w:rStyle w:val="Refdecomentario"/>
                <w:b w:val="0"/>
                <w:bCs w:val="0"/>
                <w:sz w:val="22"/>
                <w:szCs w:val="22"/>
              </w:rPr>
              <w:commentReference w:id="6"/>
            </w:r>
          </w:p>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En materia de negocio: aporta a la Comisión de Gobierno de IA la visión del</w:t>
            </w:r>
            <w:r w:rsidRPr="005B30EE">
              <w:rPr>
                <w:b w:val="0"/>
                <w:bCs w:val="0"/>
                <w:highlight w:val="lightGray"/>
              </w:rPr>
              <w:t xml:space="preserve"> </w:t>
            </w:r>
            <w:r w:rsidRPr="005B30EE">
              <w:rPr>
                <w:b w:val="0"/>
                <w:bCs w:val="0"/>
                <w:highlight w:val="lightGray"/>
              </w:rPr>
              <w:t xml:space="preserve">ámbito de la Superintendencia Nacional Adjunta que lo designa. </w:t>
            </w:r>
          </w:p>
          <w:p w14:paraId="71793657" w14:textId="456BC3C3"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lastRenderedPageBreak/>
              <w:t>Contribuye a la</w:t>
            </w:r>
            <w:r w:rsidRPr="005B30EE">
              <w:rPr>
                <w:b w:val="0"/>
                <w:bCs w:val="0"/>
                <w:highlight w:val="lightGray"/>
              </w:rPr>
              <w:t xml:space="preserve"> </w:t>
            </w:r>
            <w:r w:rsidRPr="005B30EE">
              <w:rPr>
                <w:b w:val="0"/>
                <w:bCs w:val="0"/>
                <w:highlight w:val="lightGray"/>
              </w:rPr>
              <w:t>evaluación del componente de IA con el conocimiento operativo de los procesos</w:t>
            </w:r>
            <w:r w:rsidRPr="005B30EE">
              <w:rPr>
                <w:b w:val="0"/>
                <w:bCs w:val="0"/>
                <w:highlight w:val="lightGray"/>
              </w:rPr>
              <w:t xml:space="preserve"> </w:t>
            </w:r>
            <w:r w:rsidRPr="005B30EE">
              <w:rPr>
                <w:b w:val="0"/>
                <w:bCs w:val="0"/>
                <w:highlight w:val="lightGray"/>
              </w:rPr>
              <w:t xml:space="preserve">de dicho ámbito y de su impacto en los administrados. Su participación </w:t>
            </w:r>
            <w:r w:rsidRPr="005B30EE">
              <w:rPr>
                <w:b w:val="0"/>
                <w:bCs w:val="0"/>
                <w:highlight w:val="lightGray"/>
              </w:rPr>
              <w:t>es permanente</w:t>
            </w:r>
            <w:r w:rsidRPr="005B30EE">
              <w:rPr>
                <w:b w:val="0"/>
                <w:bCs w:val="0"/>
                <w:highlight w:val="lightGray"/>
              </w:rPr>
              <w:t xml:space="preserve"> y no sustituye la del propietario del caso de uso, a quien la Comisión</w:t>
            </w:r>
            <w:r w:rsidRPr="005B30EE">
              <w:rPr>
                <w:b w:val="0"/>
                <w:bCs w:val="0"/>
                <w:highlight w:val="lightGray"/>
              </w:rPr>
              <w:t xml:space="preserve"> </w:t>
            </w:r>
            <w:r w:rsidRPr="005B30EE">
              <w:rPr>
                <w:b w:val="0"/>
                <w:bCs w:val="0"/>
                <w:highlight w:val="lightGray"/>
              </w:rPr>
              <w:t>convoca cuando se evalúa un caso de uso de su proceso, conforme al numeral   5.3.2.</w:t>
            </w:r>
            <w:r w:rsidRPr="005B30EE">
              <w:rPr>
                <w:b w:val="0"/>
                <w:bCs w:val="0"/>
                <w:highlight w:val="lightGray"/>
              </w:rPr>
              <w:t xml:space="preserve"> </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7" w:name="_Toc235003966"/>
      <w:r>
        <w:rPr>
          <w:rFonts w:cs="Arial"/>
          <w:bCs/>
          <w:color w:val="000000"/>
          <w:szCs w:val="22"/>
        </w:rPr>
        <w:t>DISPOSICIONES ESPECÍFICAS</w:t>
      </w:r>
      <w:bookmarkEnd w:id="7"/>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coordina la evaluación técnica, legal, ética y operativa de la iniciativa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t>Aprobación de la clasificación de riesgo y de la viabilidad de la 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 xml:space="preserve">La Gerencia de Calidad de Sistemas conduce las pruebas de verificación y validación de calidad, y la Oficina de Seguridad Informática efectúa el análisis de riesgo y las pruebas de vulnerabilidad, incluido el red teaming </w:t>
            </w:r>
            <w:r>
              <w:rPr>
                <w:rFonts w:ascii="Arial" w:eastAsia="Arial" w:hAnsi="Arial" w:cs="Arial"/>
                <w:highlight w:val="yellow"/>
              </w:rPr>
              <w:lastRenderedPageBreak/>
              <w:t>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77777777" w:rsidR="00E67A73"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6.1.2</w:t>
      </w:r>
      <w:r>
        <w:rPr>
          <w:rFonts w:ascii="Arial" w:hAnsi="Arial" w:cs="Arial"/>
          <w:color w:val="000000"/>
          <w:highlight w:val="cyan"/>
        </w:rPr>
        <w:tab/>
        <w:t>Los hitos de aprobación del ciclo de vida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28B8A15A"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6.1.4</w:t>
      </w:r>
      <w:r>
        <w:rPr>
          <w:rFonts w:ascii="Arial" w:eastAsia="Arial" w:hAnsi="Arial" w:cs="Arial"/>
          <w:color w:val="000000"/>
          <w:highlight w:val="yellow"/>
        </w:rPr>
        <w:tab/>
        <w:t>La Comisión de Gobierno de IA distingue dos situaciones respecto de un caso de uso de SBIA:</w:t>
      </w:r>
    </w:p>
    <w:p w14:paraId="4E12C55F" w14:textId="77777777" w:rsidR="0018147B" w:rsidRPr="00344C8A" w:rsidRDefault="00000000" w:rsidP="00344C8A">
      <w:pPr>
        <w:pStyle w:val="Prrafodelista"/>
        <w:numPr>
          <w:ilvl w:val="1"/>
          <w:numId w:val="22"/>
        </w:numPr>
        <w:spacing w:before="0" w:after="60" w:line="276" w:lineRule="auto"/>
        <w:ind w:left="1701"/>
        <w:rPr>
          <w:b w:val="0"/>
          <w:bCs w:val="0"/>
        </w:rPr>
      </w:pPr>
      <w:r>
        <w:rPr>
          <w:b w:val="0"/>
          <w:bCs w:val="0"/>
          <w:color w:val="000000"/>
          <w:highlight w:val="yellow"/>
        </w:rPr>
        <w:t>Observaciones subsanables (acompañamiento). Cuando la iniciativa presenta debilidades en el análisis de generación de valor, no cuenta con presupuesto identificado o la Ficha de Evaluación de Caso de Uso (Anexo N.° 4) está incompleta, la Comisión de Gobierno de IA brinda acompañamiento al propietario del caso de uso para fortalecer la propuesta antes de elevarla nuevamente. Ninguna iniciativa se descarta por estas causas.</w:t>
      </w:r>
    </w:p>
    <w:p w14:paraId="412AB8E2" w14:textId="77777777" w:rsidR="0018147B" w:rsidRPr="00344C8A" w:rsidRDefault="00000000" w:rsidP="00344C8A">
      <w:pPr>
        <w:pStyle w:val="Prrafodelista"/>
        <w:numPr>
          <w:ilvl w:val="1"/>
          <w:numId w:val="22"/>
        </w:numPr>
        <w:spacing w:after="60" w:line="276" w:lineRule="auto"/>
        <w:ind w:left="1701"/>
        <w:rPr>
          <w:b w:val="0"/>
          <w:bCs w:val="0"/>
          <w:color w:val="000000"/>
        </w:rPr>
      </w:pPr>
      <w:r>
        <w:rPr>
          <w:b w:val="0"/>
          <w:bCs w:val="0"/>
          <w:color w:val="000000"/>
          <w:highlight w:val="yellow"/>
        </w:rPr>
        <w:lastRenderedPageBreak/>
        <w:t xml:space="preserve">No procedencia. Cuando el SBIA es clasificado como de </w:t>
      </w:r>
      <w:r>
        <w:rPr>
          <w:b w:val="0"/>
          <w:bCs w:val="0"/>
          <w:color w:val="000000"/>
          <w:highlight w:val="cyan"/>
        </w:rPr>
        <w:t>uso indebido</w:t>
      </w:r>
      <w:r>
        <w:rPr>
          <w:b w:val="0"/>
          <w:bCs w:val="0"/>
          <w:color w:val="000000"/>
          <w:highlight w:val="yellow"/>
        </w:rPr>
        <w:t xml:space="preserve"> conforme al artículo 23 del RLIA, contraviene la Política de Uso Seguro, Responsable y Ético de los SBIA o la normativa vigente, o no cuenta con pronunciamiento favorable de la Comisión de Gobierno de IA sobre su viabilidad técnica, la Comisión fundamenta por escrito la no procedencia y la eleva al CGTD para su decisión definitiva en acta.</w:t>
      </w:r>
    </w:p>
    <w:p w14:paraId="1F039B1B" w14:textId="77777777" w:rsidR="00E67A73" w:rsidRDefault="00000000">
      <w:pPr>
        <w:spacing w:after="60" w:line="276" w:lineRule="auto"/>
        <w:ind w:left="1276"/>
        <w:jc w:val="both"/>
        <w:rPr>
          <w:rFonts w:ascii="Arial" w:eastAsia="Arial" w:hAnsi="Arial" w:cs="Arial"/>
          <w:color w:val="000000"/>
        </w:rPr>
      </w:pPr>
      <w:r>
        <w:rPr>
          <w:rFonts w:ascii="Arial" w:eastAsia="Arial" w:hAnsi="Arial" w:cs="Arial"/>
          <w:color w:val="000000"/>
          <w:highlight w:val="yellow"/>
        </w:rPr>
        <w:t>En la evaluación de la generación de valor, el beneficio puede sustentarse a nivel de un conjunto o programa de SBIA cuando la iniciativa forme parte de un portafolio, e incluir beneficios cualitativos y de control de procesos además de los cuantitativos.</w:t>
      </w:r>
    </w:p>
    <w:p w14:paraId="68622EF3" w14:textId="6907B226" w:rsidR="00E67A73" w:rsidRDefault="00000000" w:rsidP="00166F8B">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6.1.1.Por comprender actuaciones a cargo de unidades de organización distintas de la INSI, su formulación recoge los aportes de dichas unidades y su aprobación</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técnicos de diseño de la arquitectura de los SBIA, el contenido de los entregables de cada etapa, los tipos y las técnicas de prueba aplicables según</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el nivel de riesgo, los controles de contención, las prácticas de monitoreo y las condiciones de retiro. En tanto no se apruebe, los SBIA siguen el ciclo de</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vida del numeral 6.1.1 y la normativa de desarrollo de sistemas vigente en la SUNAT</w:t>
      </w:r>
      <w:r w:rsidR="00166F8B" w:rsidRPr="00166F8B">
        <w:rPr>
          <w:rFonts w:ascii="Arial" w:hAnsi="Arial" w:cs="Arial"/>
          <w:color w:val="000000"/>
          <w:highlight w:val="lightGray"/>
        </w:rPr>
        <w:t>.</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w:t>
      </w:r>
      <w:r>
        <w:rPr>
          <w:rFonts w:ascii="Arial" w:eastAsia="Arial" w:hAnsi="Arial" w:cs="Arial"/>
          <w:color w:val="000000"/>
          <w:highlight w:val="yellow"/>
        </w:rPr>
        <w:lastRenderedPageBreak/>
        <w:t xml:space="preserve">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La prohibición del uso indebido se asegura mediante la clasificación de riesgo previa y obligatoria, el filtro de no procedencia y el registro obligatorio en el Inventario Institucional de SBIA. Ante la duda sobre si un SBIA constituye uso indebido, la SUNAT puede formular a la SGTD la consulta prevista en el artículo 23 del RLIA.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 xml:space="preserve">Cuando la EIA detecte riesgos que afecten los derechos fundamentales o puedan generar decisiones automatizadas erróneas, el propietario del caso de uso y el equipo técnico del SBIA adoptan las medidas necesarias para mitigar </w:t>
      </w:r>
      <w:r>
        <w:rPr>
          <w:rFonts w:ascii="Arial" w:eastAsia="Arial" w:hAnsi="Arial" w:cs="Arial"/>
          <w:color w:val="000000"/>
          <w:highlight w:val="yellow"/>
        </w:rPr>
        <w:lastRenderedPageBreak/>
        <w:t>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50AD7B0A"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—modelos, conjuntos de datos, componentes generativos y </w:t>
      </w:r>
      <w:r w:rsidRPr="005C3A70">
        <w:rPr>
          <w:rFonts w:ascii="Arial" w:eastAsia="Arial" w:hAnsi="Arial" w:cs="Arial"/>
          <w:color w:val="000000"/>
          <w:highlight w:val="lightGray"/>
        </w:rPr>
        <w:t>agenticos</w:t>
      </w:r>
      <w:r w:rsidRPr="005C3A70">
        <w:rPr>
          <w:rFonts w:ascii="Arial" w:eastAsia="Arial" w:hAnsi="Arial" w:cs="Arial"/>
          <w:color w:val="000000"/>
          <w:highlight w:val="lightGray"/>
        </w:rPr>
        <w:t>, e infraestructura especializada—,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6.5.4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704801A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La publicación del código fuente de los SBIA financiados con fondos públicos, con licencia libre o abierta en la Plataforma Nacional de Software Público Peruano (PNSSP), se sujeta a la determinación previa de su publicabilidad. </w:t>
      </w:r>
      <w:r w:rsidRPr="005C3A70">
        <w:rPr>
          <w:rFonts w:ascii="Arial" w:eastAsia="Arial" w:hAnsi="Arial" w:cs="Arial"/>
          <w:color w:val="000000"/>
          <w:highlight w:val="lightGray"/>
        </w:rPr>
        <w:lastRenderedPageBreak/>
        <w:t xml:space="preserve">Dicha determinación verifica que el código no revele información sujeta a reserva tributaria conforme al artículo 85 del TUO del Código Tributario, información protegida por confidencialidad aduanera,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lastRenderedPageBreak/>
        <w:t>Dispone de los medios técnicos y la autoridad para detener, corregir o invalidar una decisión del SBIA cuando lo considere necesario.</w:t>
      </w:r>
    </w:p>
    <w:p w14:paraId="37346EF0" w14:textId="77777777" w:rsidR="00863A18" w:rsidRPr="00923C59"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7190B843" w14:textId="77777777" w:rsidR="00863A18"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La Comisión de Gobierno de IA verifica la existencia de estas medidas como parte de la evaluación de viabilidad.</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w:t>
      </w:r>
      <w:r>
        <w:rPr>
          <w:rFonts w:ascii="Arial" w:eastAsia="Arial" w:hAnsi="Arial" w:cs="Arial"/>
          <w:color w:val="000000"/>
          <w:highlight w:val="cyan"/>
        </w:rPr>
        <w:lastRenderedPageBreak/>
        <w:t>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P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lastRenderedPageBreak/>
        <w:t xml:space="preserve">6.8.5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alto: monitoreo continuo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965A5B3"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RLIA.</w:t>
      </w:r>
    </w:p>
    <w:p w14:paraId="0B9298C6"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Los resultados de las auditorías alimentan el informe trimestral de la Comisión de Gobierno de IA al CGTD.</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lastRenderedPageBreak/>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w:t>
      </w:r>
      <w:r>
        <w:rPr>
          <w:rFonts w:ascii="Arial" w:eastAsia="Arial" w:hAnsi="Arial" w:cs="Arial"/>
          <w:color w:val="000000"/>
          <w:highlight w:val="cyan"/>
        </w:rPr>
        <w:lastRenderedPageBreak/>
        <w:t>Procedimiento para el Registro, Control y Retiro de Software de la SUNAT (A-03.3.2-PR-01).</w:t>
      </w:r>
    </w:p>
    <w:p w14:paraId="6CEA57C6" w14:textId="77777777" w:rsidR="005F24C2" w:rsidRDefault="005F24C2">
      <w:pPr>
        <w:spacing w:after="60" w:line="276" w:lineRule="auto"/>
        <w:ind w:left="1276" w:hanging="720"/>
        <w:jc w:val="both"/>
        <w:rPr>
          <w:rFonts w:ascii="Arial" w:eastAsia="Arial" w:hAnsi="Arial" w:cs="Arial"/>
          <w:color w:val="000000"/>
        </w:rPr>
      </w:pP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.1 Sensibilización</w:t>
      </w:r>
    </w:p>
    <w:p w14:paraId="4C521181"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lastRenderedPageBreak/>
        <w:t>La finalidad y los principios institucionales aplicables a los sistemas basados en IA.</w:t>
      </w:r>
    </w:p>
    <w:p w14:paraId="4379805E"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.2 Capacitación y fortalecimiento de capacidades</w:t>
      </w:r>
    </w:p>
    <w:p w14:paraId="56A6AAD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.3 Gestión del cambio</w:t>
      </w:r>
    </w:p>
    <w:p w14:paraId="3003C92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w:t>
      </w:r>
      <w:r w:rsidRPr="00833CDE">
        <w:rPr>
          <w:rFonts w:ascii="Arial" w:eastAsia="Arial" w:hAnsi="Arial" w:cs="Arial"/>
          <w:color w:val="000000"/>
          <w:highlight w:val="lightGray"/>
        </w:rPr>
        <w:lastRenderedPageBreak/>
        <w:t>mejora continua, en concordancia con los numerales 28.1 y 28.2 del artículo 28 del Reglamento.</w:t>
      </w:r>
    </w:p>
    <w:p w14:paraId="2B6E073D" w14:textId="77777777" w:rsidR="00462A57" w:rsidRDefault="00462A57" w:rsidP="00462A57">
      <w:pPr>
        <w:jc w:val="both"/>
        <w:rPr>
          <w:color w:val="000000" w:themeColor="text1"/>
        </w:rPr>
      </w:pPr>
    </w:p>
    <w:p w14:paraId="413BDA4B" w14:textId="77777777" w:rsidR="00462A57" w:rsidRDefault="00462A57" w:rsidP="00462A57">
      <w:pPr>
        <w:jc w:val="both"/>
        <w:rPr>
          <w:color w:val="000000" w:themeColor="text1"/>
        </w:rPr>
      </w:pP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 La OII supervisa el cumplimiento de los principios éticos en los SBIA, evalúa los riesgos de sesgo y discriminación y administra el canal de consultas éticas en materia de IA. 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Pr="002D136C" w:rsidRDefault="00326739" w:rsidP="002D136C">
      <w:pPr>
        <w:pStyle w:val="SubtituloDONI"/>
        <w:spacing w:line="276" w:lineRule="auto"/>
        <w:ind w:left="851"/>
        <w:rPr>
          <w:color w:val="000000"/>
          <w:highlight w:val="lightGray"/>
        </w:rPr>
      </w:pPr>
      <w:r w:rsidRPr="002D136C">
        <w:rPr>
          <w:highlight w:val="lightGray"/>
        </w:rPr>
        <w:t>6.15 De la articulación con la formulación de iniciativas, proyectos e inversiones</w:t>
      </w:r>
    </w:p>
    <w:p w14:paraId="0BD19C27" w14:textId="61BE8FE3"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6.15.1 Toda iniciativa, requerimiento o proyecto que incorpore o prevea un componente basado en IA requiere la opinión de viabilidad de la Comisión de Gobierno de IA sobre dicho componente. La opinión es insumo del análisis que sustenta la decisión que corresponda y es determinante respecto del componente de IA; no sustituye las aprobaciones que competen a la Alta Dirección ni las de los sistemas administrativos del Estado. Se emite sobre la Ficha de Evaluación de Caso de Uso (Anexo N.° 4), adecuada a la naturaleza y magnitud de la iniciativa, requerimiento o proyecto.</w:t>
      </w:r>
    </w:p>
    <w:p w14:paraId="036045F6" w14:textId="1232AD42"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1F688DEA" w14:textId="12F8070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lastRenderedPageBreak/>
        <w:t>6.15.3 En la formulación de proyectos institucionales conforme al MGPP, cuando se identifique un componente basado en IA se incorpora la opinión de la Comisión como parte del caso de negocio, con carácter previo a su aprobación.</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4D30DF90" w14:textId="2FDDB7BC" w:rsidR="000153F0" w:rsidRDefault="00326739" w:rsidP="00326739">
      <w:pPr>
        <w:tabs>
          <w:tab w:val="left" w:pos="1276"/>
        </w:tabs>
        <w:spacing w:after="60" w:line="276" w:lineRule="auto"/>
        <w:ind w:left="1276" w:hanging="709"/>
        <w:jc w:val="both"/>
        <w:rPr>
          <w:rFonts w:ascii="Arial" w:eastAsia="Arial" w:hAnsi="Arial" w:cs="Arial"/>
          <w:color w:val="000000"/>
          <w:highlight w:val="yellow"/>
        </w:rPr>
      </w:pPr>
      <w:r w:rsidRPr="00326739">
        <w:rPr>
          <w:highlight w:val="lightGray"/>
        </w:rPr>
        <w:t>6.15.5 Las unidades competentes de cada instrumento incorporan en sus metodologías o procedimientos la verificación del componente de IA y la opinión de la Comisión, según sus competencias y sin afectar los sistemas administrativos del Estado, conforme al numeral 7.6</w:t>
      </w:r>
      <w:r>
        <w:br w:type="page"/>
      </w:r>
    </w:p>
    <w:p w14:paraId="66FD7798" w14:textId="77777777" w:rsidR="00863A18" w:rsidRPr="00923C59" w:rsidRDefault="00863A18" w:rsidP="00B23382">
      <w:pPr>
        <w:pStyle w:val="Ttulo1"/>
        <w:spacing w:line="276" w:lineRule="auto"/>
        <w:rPr>
          <w:rFonts w:cs="Arial"/>
          <w:szCs w:val="22"/>
        </w:rPr>
      </w:pPr>
      <w:bookmarkStart w:id="8" w:name="_Toc235003967"/>
      <w:r>
        <w:rPr>
          <w:rFonts w:cs="Arial"/>
          <w:bCs/>
          <w:color w:val="000000"/>
          <w:szCs w:val="22"/>
        </w:rPr>
        <w:lastRenderedPageBreak/>
        <w:t>DISPOSICIONES FINALES</w:t>
      </w:r>
      <w:bookmarkEnd w:id="8"/>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77777777" w:rsidR="00CB040E" w:rsidRPr="00CB040E" w:rsidRDefault="00CB040E" w:rsidP="00CB040E">
      <w:pPr>
        <w:pStyle w:val="SubtituloDONI"/>
        <w:spacing w:line="276" w:lineRule="auto"/>
        <w:ind w:left="851"/>
        <w:rPr>
          <w:b w:val="0"/>
          <w:bCs w:val="0"/>
          <w:highlight w:val="cyan"/>
        </w:rPr>
      </w:pPr>
      <w:r>
        <w:rPr>
          <w:b w:val="0"/>
          <w:bCs w:val="0"/>
          <w:highlight w:val="cyan"/>
        </w:rPr>
        <w:t>7.4</w:t>
      </w:r>
      <w:r>
        <w:rPr>
          <w:b w:val="0"/>
          <w:bCs w:val="0"/>
          <w:highlight w:val="cyan"/>
        </w:rPr>
        <w:tab/>
        <w:t>El Sistema de Gestión de Inteligencia Artificial (SGIA) de la SUNAT se rige por la NTP-ISO/IEC 42001:2025. La 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740A6808"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2D136C">
        <w:rPr>
          <w:b w:val="0"/>
          <w:bCs w:val="0"/>
          <w:color w:val="000000"/>
          <w:highlight w:val="lightGray"/>
        </w:rPr>
        <w:t>Dichos documentos desarrollan la aplicación de lo dispuesto en la presente directiva y no modifican sus disposiciones, sus Anexos ni las competencias de aprobación que establece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77777777" w:rsidR="0018147B" w:rsidRDefault="00000000">
      <w:pPr>
        <w:pStyle w:val="SubtituloDONI"/>
        <w:spacing w:line="276" w:lineRule="auto"/>
        <w:ind w:left="851"/>
        <w:rPr>
          <w:b w:val="0"/>
          <w:bCs w:val="0"/>
        </w:rPr>
      </w:pPr>
      <w:r>
        <w:rPr>
          <w:b w:val="0"/>
          <w:bCs w:val="0"/>
          <w:highlight w:val="yellow"/>
        </w:rPr>
        <w:t>7.9</w:t>
      </w:r>
      <w:r>
        <w:rPr>
          <w:b w:val="0"/>
          <w:bCs w:val="0"/>
          <w:highlight w:val="yellow"/>
        </w:rPr>
        <w:tab/>
        <w:t>Los Anexos, los indicadores y las fichas de la presente directiva se actualizan mediante acto administrativo del CGTD, sin requerir la modificación de la directiva, conforme a los numerales 6.10.2, 7.5 y 7.7.</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ENIA. Su aprobación requiere que la SUNAT haya aprobado o implementado previamente su </w:t>
      </w:r>
      <w:r>
        <w:rPr>
          <w:b w:val="0"/>
          <w:bCs w:val="0"/>
          <w:highlight w:val="yellow"/>
        </w:rPr>
        <w:lastRenderedPageBreak/>
        <w:t>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0F6BB4D0" w14:textId="77777777" w:rsidR="00863A18" w:rsidRPr="00923C59" w:rsidRDefault="00863A18" w:rsidP="00B23382">
      <w:pPr>
        <w:pStyle w:val="Ttulo1"/>
        <w:spacing w:line="276" w:lineRule="auto"/>
        <w:rPr>
          <w:rFonts w:cs="Arial"/>
          <w:szCs w:val="22"/>
        </w:rPr>
      </w:pPr>
      <w:bookmarkStart w:id="9" w:name="_Toc235003968"/>
      <w:r>
        <w:rPr>
          <w:rFonts w:cs="Arial"/>
          <w:bCs/>
          <w:color w:val="000000"/>
          <w:szCs w:val="22"/>
        </w:rPr>
        <w:t>ANEXOS</w:t>
      </w:r>
      <w:bookmarkEnd w:id="9"/>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462A57"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4: Ficha de Evaluación de Caso de Uso de SBIA</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6"/>
      <w:footerReference w:type="default" r:id="rId17"/>
      <w:pgSz w:w="11906" w:h="16838"/>
      <w:pgMar w:top="1701" w:right="1418" w:bottom="1701" w:left="15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Kut Castro Mario Fernando" w:date="2026-07-21T11:30:00Z" w:initials="MK">
    <w:p w14:paraId="3C0FED1C" w14:textId="77777777" w:rsidR="00DE41F6" w:rsidRDefault="00DE41F6" w:rsidP="00DE41F6">
      <w:pPr>
        <w:pStyle w:val="Textocomentario"/>
      </w:pPr>
      <w:r>
        <w:rPr>
          <w:rStyle w:val="Refdecomentario"/>
        </w:rPr>
        <w:annotationRef/>
      </w:r>
      <w:r>
        <w:t xml:space="preserve">Revisar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0FED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87E4DA" w16cex:dateUtc="2026-07-21T16: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0FED1C" w16cid:durableId="6387E4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31667" w14:textId="77777777" w:rsidR="00803D20" w:rsidRDefault="00803D20">
      <w:pPr>
        <w:spacing w:after="0" w:line="240" w:lineRule="auto"/>
      </w:pPr>
      <w:r>
        <w:separator/>
      </w:r>
    </w:p>
  </w:endnote>
  <w:endnote w:type="continuationSeparator" w:id="0">
    <w:p w14:paraId="06B232D5" w14:textId="77777777" w:rsidR="00803D20" w:rsidRDefault="00803D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8DB1B" w14:textId="77777777" w:rsidR="00803D20" w:rsidRDefault="00803D20">
      <w:pPr>
        <w:spacing w:after="0" w:line="240" w:lineRule="auto"/>
      </w:pPr>
      <w:r>
        <w:separator/>
      </w:r>
    </w:p>
  </w:footnote>
  <w:footnote w:type="continuationSeparator" w:id="0">
    <w:p w14:paraId="5DAE26BB" w14:textId="77777777" w:rsidR="00803D20" w:rsidRDefault="00803D20">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3"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0"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15" w15:restartNumberingAfterBreak="0">
    <w:nsid w:val="65D30CFE"/>
    <w:multiLevelType w:val="hybridMultilevel"/>
    <w:tmpl w:val="35882B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1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14"/>
  </w:num>
  <w:num w:numId="2" w16cid:durableId="997340142">
    <w:abstractNumId w:val="2"/>
  </w:num>
  <w:num w:numId="3" w16cid:durableId="818888625">
    <w:abstractNumId w:val="10"/>
  </w:num>
  <w:num w:numId="4" w16cid:durableId="789980796">
    <w:abstractNumId w:val="11"/>
  </w:num>
  <w:num w:numId="5" w16cid:durableId="2135756204">
    <w:abstractNumId w:val="3"/>
  </w:num>
  <w:num w:numId="6" w16cid:durableId="1603613276">
    <w:abstractNumId w:val="5"/>
  </w:num>
  <w:num w:numId="7" w16cid:durableId="1698236715">
    <w:abstractNumId w:val="23"/>
  </w:num>
  <w:num w:numId="8" w16cid:durableId="1567180075">
    <w:abstractNumId w:val="25"/>
  </w:num>
  <w:num w:numId="9" w16cid:durableId="260988981">
    <w:abstractNumId w:val="18"/>
  </w:num>
  <w:num w:numId="10" w16cid:durableId="360321617">
    <w:abstractNumId w:val="12"/>
  </w:num>
  <w:num w:numId="11" w16cid:durableId="11301047">
    <w:abstractNumId w:val="17"/>
  </w:num>
  <w:num w:numId="12" w16cid:durableId="104814016">
    <w:abstractNumId w:val="20"/>
  </w:num>
  <w:num w:numId="13" w16cid:durableId="1885175596">
    <w:abstractNumId w:val="0"/>
  </w:num>
  <w:num w:numId="14" w16cid:durableId="167066823">
    <w:abstractNumId w:val="21"/>
  </w:num>
  <w:num w:numId="15" w16cid:durableId="954553902">
    <w:abstractNumId w:val="19"/>
  </w:num>
  <w:num w:numId="16" w16cid:durableId="1324506319">
    <w:abstractNumId w:val="8"/>
  </w:num>
  <w:num w:numId="17" w16cid:durableId="1839225738">
    <w:abstractNumId w:val="24"/>
  </w:num>
  <w:num w:numId="18" w16cid:durableId="267396013">
    <w:abstractNumId w:val="13"/>
  </w:num>
  <w:num w:numId="19" w16cid:durableId="1228301004">
    <w:abstractNumId w:val="15"/>
  </w:num>
  <w:num w:numId="20" w16cid:durableId="554125780">
    <w:abstractNumId w:val="6"/>
  </w:num>
  <w:num w:numId="21" w16cid:durableId="1964574287">
    <w:abstractNumId w:val="9"/>
  </w:num>
  <w:num w:numId="22" w16cid:durableId="1868059492">
    <w:abstractNumId w:val="16"/>
  </w:num>
  <w:num w:numId="23" w16cid:durableId="529534098">
    <w:abstractNumId w:val="1"/>
  </w:num>
  <w:num w:numId="24" w16cid:durableId="1828084485">
    <w:abstractNumId w:val="7"/>
  </w:num>
  <w:num w:numId="25" w16cid:durableId="1934242185">
    <w:abstractNumId w:val="4"/>
  </w:num>
  <w:num w:numId="26" w16cid:durableId="1799032513">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t Castro Mario Fernando">
    <w15:presenceInfo w15:providerId="AD" w15:userId="S::mkutc@sunat.gob.pe::7f4a71c1-9edb-4217-8bf6-fb9d10e7d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isplayBackgroundShape/>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7728"/>
    <w:rsid w:val="000B6CAE"/>
    <w:rsid w:val="000C43E2"/>
    <w:rsid w:val="000E4C2C"/>
    <w:rsid w:val="000E5B6B"/>
    <w:rsid w:val="000E7544"/>
    <w:rsid w:val="001164EE"/>
    <w:rsid w:val="00141E9A"/>
    <w:rsid w:val="001437F1"/>
    <w:rsid w:val="00153C2B"/>
    <w:rsid w:val="001609F8"/>
    <w:rsid w:val="00164552"/>
    <w:rsid w:val="00166F8B"/>
    <w:rsid w:val="0018147B"/>
    <w:rsid w:val="0018222F"/>
    <w:rsid w:val="001B791A"/>
    <w:rsid w:val="001C5C4D"/>
    <w:rsid w:val="001D0B85"/>
    <w:rsid w:val="001F16B0"/>
    <w:rsid w:val="002102ED"/>
    <w:rsid w:val="00215BA9"/>
    <w:rsid w:val="002222E3"/>
    <w:rsid w:val="00272134"/>
    <w:rsid w:val="002950F6"/>
    <w:rsid w:val="002A5658"/>
    <w:rsid w:val="002D136C"/>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35686"/>
    <w:rsid w:val="00537E02"/>
    <w:rsid w:val="00567C78"/>
    <w:rsid w:val="00570612"/>
    <w:rsid w:val="00594919"/>
    <w:rsid w:val="005B30EE"/>
    <w:rsid w:val="005C3A70"/>
    <w:rsid w:val="005C4042"/>
    <w:rsid w:val="005C67EA"/>
    <w:rsid w:val="005D5880"/>
    <w:rsid w:val="005D754C"/>
    <w:rsid w:val="005F24C2"/>
    <w:rsid w:val="0060099A"/>
    <w:rsid w:val="00603B7D"/>
    <w:rsid w:val="0065257C"/>
    <w:rsid w:val="00662A54"/>
    <w:rsid w:val="006653DD"/>
    <w:rsid w:val="00665F3F"/>
    <w:rsid w:val="00677324"/>
    <w:rsid w:val="006806C8"/>
    <w:rsid w:val="00682244"/>
    <w:rsid w:val="00691FB4"/>
    <w:rsid w:val="00697B72"/>
    <w:rsid w:val="006B3AF5"/>
    <w:rsid w:val="006B4241"/>
    <w:rsid w:val="00714044"/>
    <w:rsid w:val="007324DC"/>
    <w:rsid w:val="0075082A"/>
    <w:rsid w:val="00771AB8"/>
    <w:rsid w:val="007808CA"/>
    <w:rsid w:val="007C4F40"/>
    <w:rsid w:val="007D181A"/>
    <w:rsid w:val="0080359D"/>
    <w:rsid w:val="00803D20"/>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80853"/>
    <w:rsid w:val="00A80AFB"/>
    <w:rsid w:val="00A82512"/>
    <w:rsid w:val="00A82BA1"/>
    <w:rsid w:val="00A82FE3"/>
    <w:rsid w:val="00A84B43"/>
    <w:rsid w:val="00A84EC0"/>
    <w:rsid w:val="00A964A4"/>
    <w:rsid w:val="00AA0ACB"/>
    <w:rsid w:val="00AA2DB4"/>
    <w:rsid w:val="00AB0407"/>
    <w:rsid w:val="00AD458B"/>
    <w:rsid w:val="00AD5F7D"/>
    <w:rsid w:val="00AE1F2D"/>
    <w:rsid w:val="00AE3DBA"/>
    <w:rsid w:val="00AE6854"/>
    <w:rsid w:val="00AF2BA4"/>
    <w:rsid w:val="00B23382"/>
    <w:rsid w:val="00B34A74"/>
    <w:rsid w:val="00B46315"/>
    <w:rsid w:val="00B474EF"/>
    <w:rsid w:val="00B629FD"/>
    <w:rsid w:val="00B63942"/>
    <w:rsid w:val="00B71027"/>
    <w:rsid w:val="00B72BA5"/>
    <w:rsid w:val="00B72DD0"/>
    <w:rsid w:val="00B852DB"/>
    <w:rsid w:val="00B87F34"/>
    <w:rsid w:val="00B9744D"/>
    <w:rsid w:val="00BA798A"/>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D5098"/>
    <w:rsid w:val="00CD5536"/>
    <w:rsid w:val="00CE3C2A"/>
    <w:rsid w:val="00CE6C00"/>
    <w:rsid w:val="00CF1187"/>
    <w:rsid w:val="00CF4842"/>
    <w:rsid w:val="00D108CB"/>
    <w:rsid w:val="00D16977"/>
    <w:rsid w:val="00D35170"/>
    <w:rsid w:val="00D42CEC"/>
    <w:rsid w:val="00D44574"/>
    <w:rsid w:val="00D601EF"/>
    <w:rsid w:val="00D75749"/>
    <w:rsid w:val="00D83EE0"/>
    <w:rsid w:val="00DA3E65"/>
    <w:rsid w:val="00DA4B1B"/>
    <w:rsid w:val="00DC2B05"/>
    <w:rsid w:val="00DC7025"/>
    <w:rsid w:val="00DE269D"/>
    <w:rsid w:val="00DE41F6"/>
    <w:rsid w:val="00DF04A0"/>
    <w:rsid w:val="00E22438"/>
    <w:rsid w:val="00E22CB4"/>
    <w:rsid w:val="00E22E28"/>
    <w:rsid w:val="00E3106C"/>
    <w:rsid w:val="00E34945"/>
    <w:rsid w:val="00E67A73"/>
    <w:rsid w:val="00E75696"/>
    <w:rsid w:val="00E87621"/>
    <w:rsid w:val="00E9145B"/>
    <w:rsid w:val="00E950CF"/>
    <w:rsid w:val="00EB62D4"/>
    <w:rsid w:val="00ED2DC8"/>
    <w:rsid w:val="00ED3F92"/>
    <w:rsid w:val="00F0082B"/>
    <w:rsid w:val="00F0441E"/>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4926</TotalTime>
  <Pages>35</Pages>
  <Words>10765</Words>
  <Characters>59212</Characters>
  <Application>Microsoft Office Word</Application>
  <DocSecurity>0</DocSecurity>
  <Lines>493</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133</cp:revision>
  <dcterms:created xsi:type="dcterms:W3CDTF">2026-03-23T21:09:00Z</dcterms:created>
  <dcterms:modified xsi:type="dcterms:W3CDTF">2026-07-29T07:49:00Z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