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1EE981FB"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r w:rsidR="00DF04A0" w:rsidRPr="00DF04A0">
        <w:rPr>
          <w:rFonts w:ascii="Arial" w:hAnsi="Arial" w:cs="Arial"/>
          <w:color w:val="000000"/>
          <w:highlight w:val="lightGray"/>
        </w:rPr>
        <w:t>.</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2C8E28A9" w14:textId="77777777" w:rsidR="0080359D" w:rsidRPr="004F49BB" w:rsidRDefault="0080359D">
      <w:pPr>
        <w:pStyle w:val="Prrafodelista"/>
        <w:numPr>
          <w:ilvl w:val="1"/>
          <w:numId w:val="20"/>
        </w:numPr>
        <w:spacing w:line="276" w:lineRule="auto"/>
        <w:ind w:left="709" w:hanging="567"/>
        <w:rPr>
          <w:b w:val="0"/>
          <w:bCs w:val="0"/>
          <w:color w:val="000000"/>
        </w:rPr>
      </w:pPr>
      <w:r>
        <w:rPr>
          <w:b w:val="0"/>
          <w:bCs w:val="0"/>
          <w:color w:val="000000"/>
        </w:rPr>
        <w:t xml:space="preserve">Resolución de Superintendencia </w:t>
      </w:r>
      <w:r>
        <w:rPr>
          <w:b w:val="0"/>
          <w:bCs w:val="0"/>
          <w:color w:val="EE0000"/>
        </w:rPr>
        <w:t>N.° [XXX]-</w:t>
      </w:r>
      <w:r>
        <w:rPr>
          <w:b w:val="0"/>
          <w:bCs w:val="0"/>
          <w:color w:val="000000"/>
        </w:rPr>
        <w:t xml:space="preserve">2026/SUNAT, que aprueba la </w:t>
      </w:r>
      <w:r>
        <w:rPr>
          <w:b w:val="0"/>
          <w:bCs w:val="0"/>
          <w:highlight w:val="yellow"/>
        </w:rPr>
        <w:t>Política de Uso Seguro, Responsable y Ético de los SBIA</w:t>
      </w:r>
      <w:r>
        <w:rPr>
          <w:b w:val="0"/>
          <w:bCs w:val="0"/>
          <w:color w:val="000000"/>
        </w:rPr>
        <w:t xml:space="preserve"> en la SUNAT.</w:t>
      </w:r>
    </w:p>
    <w:p w14:paraId="64BA9802"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Controles de contención (Guardrails):</w:t>
      </w:r>
      <w:r>
        <w:rPr>
          <w:b w:val="0"/>
          <w:bCs w:val="0"/>
          <w:color w:val="000000"/>
        </w:rPr>
        <w:t xml:space="preserve"> Conjunto de controles, reglas y mecanismos técnicos para limitar, filtrar o validar las entradas y salidas de un SBIA, previniendo comportamientos no deseados. [NIST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Human-in-the-loop:</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w:t>
      </w:r>
      <w:r>
        <w:rPr>
          <w:b w:val="0"/>
          <w:bCs w:val="0"/>
          <w:color w:val="000000"/>
        </w:rPr>
        <w:lastRenderedPageBreak/>
        <w:t>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1EE06D1E" w:rsidR="0033689D" w:rsidRPr="00BA798A" w:rsidRDefault="0033689D">
      <w:pPr>
        <w:pStyle w:val="Prrafodelista"/>
        <w:numPr>
          <w:ilvl w:val="1"/>
          <w:numId w:val="8"/>
        </w:numPr>
        <w:spacing w:after="0" w:line="276" w:lineRule="auto"/>
        <w:ind w:left="709" w:hanging="709"/>
        <w:rPr>
          <w:b w:val="0"/>
          <w:bCs w:val="0"/>
          <w:color w:val="000000"/>
          <w:highlight w:val="lightGray"/>
        </w:rPr>
      </w:pPr>
      <w:r w:rsidRPr="00BA798A">
        <w:rPr>
          <w:color w:val="000000"/>
          <w:highlight w:val="lightGray"/>
        </w:rPr>
        <w:t>Propietario de</w:t>
      </w:r>
      <w:r w:rsidR="00BA798A">
        <w:rPr>
          <w:color w:val="000000"/>
          <w:highlight w:val="lightGray"/>
        </w:rPr>
        <w:t>l</w:t>
      </w:r>
      <w:r w:rsidRPr="00BA798A">
        <w:rPr>
          <w:color w:val="000000"/>
          <w:highlight w:val="lightGray"/>
        </w:rPr>
        <w:t xml:space="preserve"> caso de uso: </w:t>
      </w:r>
      <w:r w:rsidR="00BA798A" w:rsidRPr="00BA798A">
        <w:rPr>
          <w:b w:val="0"/>
          <w:bCs w:val="0"/>
          <w:color w:val="000000"/>
          <w:highlight w:val="lightGray"/>
        </w:rPr>
        <w:t>Unidad de organización que, de acuerdo con sus competencias y funciones en el ROF, es el dueño del proceso en el que se identifica la necesidad a atender mediante un SBIA y que asume la responsabilidad funcional sobre sus resultados durante todo su ciclo de vida. Se distingue del custodio técnico, a cargo de la arquitectura y la operación del SBIA. [METGEP, numeral 4.9; METDONI, numeral 4.6; NTP-ISO/IEC 42001:2025, cláusula 5.3]</w:t>
      </w:r>
    </w:p>
    <w:p w14:paraId="5DB96D0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Red Teaming:</w:t>
      </w:r>
      <w:r>
        <w:rPr>
          <w:b w:val="0"/>
          <w:bCs w:val="0"/>
          <w:color w:val="000000"/>
        </w:rPr>
        <w:t xml:space="preserve"> Práctica de seguridad ofensiva que simula ataques adversarios contra un SBIA para identificar vulnerabilidades previo a su despliegue. [NIST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lastRenderedPageBreak/>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w:t>
      </w:r>
      <w:r w:rsidR="00025734" w:rsidRPr="00025734">
        <w:rPr>
          <w:rFonts w:ascii="Arial" w:hAnsi="Arial" w:cs="Arial"/>
          <w:color w:val="000000"/>
          <w:highlight w:val="lightGray"/>
        </w:rPr>
        <w:t xml:space="preserve">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4D52260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Son funciones de la Comisión de Gobierno de IA, en apoyo al CGTD:</w:t>
      </w:r>
    </w:p>
    <w:p w14:paraId="638900C7"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Preparar la propuesta de estrategia institucional de IA y sus actualizaciones, para aprobación del CGTD.</w:t>
      </w:r>
    </w:p>
    <w:p w14:paraId="19EFBB4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 xml:space="preserve">Evaluar los casos de uso de SBIA propuestos por los órganos de línea (generación de valor, viabilidad técnica, legal, ética y operativa, y </w:t>
      </w:r>
      <w:r>
        <w:rPr>
          <w:b w:val="0"/>
          <w:bCs w:val="0"/>
          <w:color w:val="000000"/>
        </w:rPr>
        <w:lastRenderedPageBreak/>
        <w:t>estimación de inversión y costos recurrentes) y elevar al CGTD la recomendación fundamentada de aprobación o no procedencia.</w:t>
      </w:r>
    </w:p>
    <w:p w14:paraId="1CF00BE7"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Proponer al CGTD la clasificación de riesgo de cada SBIA, previo al inicio del desarrollo o adquisición.</w:t>
      </w:r>
    </w:p>
    <w:p w14:paraId="40055B7C" w14:textId="77777777" w:rsidR="0018222F" w:rsidRPr="00E34945" w:rsidRDefault="002102ED" w:rsidP="003204D8">
      <w:pPr>
        <w:pStyle w:val="Prrafodelista"/>
        <w:numPr>
          <w:ilvl w:val="0"/>
          <w:numId w:val="9"/>
        </w:numPr>
        <w:spacing w:before="0" w:after="60" w:line="276" w:lineRule="auto"/>
        <w:ind w:left="1701" w:hanging="425"/>
        <w:rPr>
          <w:b w:val="0"/>
          <w:bCs w:val="0"/>
          <w:color w:val="EE0000"/>
        </w:rPr>
      </w:pPr>
      <w:r>
        <w:rPr>
          <w:b w:val="0"/>
          <w:bCs w:val="0"/>
          <w:color w:val="000000"/>
          <w:highlight w:val="cyan"/>
        </w:rPr>
        <w:t>Asegurar el cumplimiento del Gobierno de IA en la SUNAT.</w:t>
      </w:r>
    </w:p>
    <w:p w14:paraId="2893713A"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Coordinar la elaboración de las evaluaciones de impacto algorítmico y elevar sus conclusiones al CGTD.</w:t>
      </w:r>
    </w:p>
    <w:p w14:paraId="3B6B74FE"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Administrar el Inventario Institucional de SBIA.</w:t>
      </w:r>
    </w:p>
    <w:p w14:paraId="24741396"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Supervisar el cumplimiento de los hitos de aprobación del ciclo de vida de los SBIA y consolidar los informes de monitoreo, auditoría e incidentes para conocimiento del CGTD.</w:t>
      </w:r>
    </w:p>
    <w:p w14:paraId="142016C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Proponer lineamientos técnicos complementarios en materia de gobierno de IA y coordinar la articulación con la SGTD-PCM.</w:t>
      </w:r>
    </w:p>
    <w:p w14:paraId="2E163CAA" w14:textId="77777777" w:rsidR="0018147B" w:rsidRDefault="00000000" w:rsidP="003204D8">
      <w:pPr>
        <w:pStyle w:val="Prrafodelista"/>
        <w:numPr>
          <w:ilvl w:val="0"/>
          <w:numId w:val="9"/>
        </w:numPr>
        <w:spacing w:before="0" w:after="60" w:line="276" w:lineRule="auto"/>
        <w:ind w:left="1701" w:hanging="425"/>
        <w:rPr>
          <w:b w:val="0"/>
          <w:bCs w:val="0"/>
          <w:color w:val="000000"/>
        </w:rPr>
      </w:pPr>
      <w:r>
        <w:rPr>
          <w:b w:val="0"/>
          <w:bCs w:val="0"/>
          <w:color w:val="000000"/>
          <w:highlight w:val="yellow"/>
        </w:rPr>
        <w:t>Administrar y centralizar la evaluación de los riesgos de los SBIA.</w:t>
      </w:r>
    </w:p>
    <w:p w14:paraId="262208F8" w14:textId="77777777" w:rsidR="00836DA1" w:rsidRDefault="00000000" w:rsidP="00E34945">
      <w:pPr>
        <w:pStyle w:val="Prrafodelista"/>
        <w:numPr>
          <w:ilvl w:val="0"/>
          <w:numId w:val="9"/>
        </w:numPr>
        <w:spacing w:before="0" w:after="60" w:line="276" w:lineRule="auto"/>
        <w:ind w:left="1701" w:hanging="425"/>
        <w:rPr>
          <w:b w:val="0"/>
          <w:bCs w:val="0"/>
          <w:highlight w:val="cyan"/>
        </w:rPr>
      </w:pPr>
      <w:r>
        <w:rPr>
          <w:b w:val="0"/>
          <w:bCs w:val="0"/>
          <w:highlight w:val="cyan"/>
        </w:rPr>
        <w:t>Convocar a otras unidades de organización y a especialistas adicionales según la materia y la complejidad del caso de uso.</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lastRenderedPageBreak/>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58552442"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Decide sobre la no procedencia de casos de uso. </w:t>
            </w:r>
          </w:p>
          <w:p w14:paraId="555CCBE5" w14:textId="77777777" w:rsidR="0081311B" w:rsidRPr="00923C59" w:rsidRDefault="0081311B" w:rsidP="0047575A">
            <w:pPr>
              <w:pStyle w:val="Prrafodelista"/>
              <w:numPr>
                <w:ilvl w:val="0"/>
                <w:numId w:val="13"/>
              </w:numPr>
              <w:spacing w:before="20" w:after="20" w:line="276" w:lineRule="auto"/>
              <w:ind w:left="299" w:hanging="283"/>
              <w:jc w:val="left"/>
            </w:pPr>
            <w:r>
              <w:rPr>
                <w:b w:val="0"/>
                <w:bCs w:val="0"/>
              </w:rPr>
              <w:t>Revisa los informes trimestrales de la Comisión de Gobierno de IA.</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tratamiento de datos personales: asegura el tratamiento adecuado de los datos personales en el desarrollo, implementación y </w:t>
            </w:r>
            <w:r>
              <w:rPr>
                <w:b w:val="0"/>
                <w:bCs w:val="0"/>
                <w:color w:val="000000"/>
                <w:highlight w:val="yellow"/>
              </w:rPr>
              <w:lastRenderedPageBreak/>
              <w:t>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lastRenderedPageBreak/>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77777777" w:rsidR="00B34A74" w:rsidRPr="00923C59" w:rsidRDefault="00B34A74" w:rsidP="00904C72">
            <w:pPr>
              <w:spacing w:before="20" w:after="20" w:line="276" w:lineRule="auto"/>
              <w:rPr>
                <w:rFonts w:ascii="Arial" w:hAnsi="Arial" w:cs="Arial"/>
              </w:rPr>
            </w:pPr>
            <w:r>
              <w:rPr>
                <w:rFonts w:ascii="Arial" w:eastAsia="Arial" w:hAnsi="Arial" w:cs="Arial"/>
              </w:rPr>
              <w:t>Ger. Seg. Información / Of. 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F73E3F" w14:textId="77777777" w:rsidR="00B34A74" w:rsidRDefault="00B34A74" w:rsidP="00904C72">
            <w:pPr>
              <w:pStyle w:val="Prrafodelista"/>
              <w:numPr>
                <w:ilvl w:val="0"/>
                <w:numId w:val="16"/>
              </w:numPr>
              <w:spacing w:before="20" w:after="20" w:line="276" w:lineRule="auto"/>
              <w:ind w:left="299" w:hanging="283"/>
              <w:jc w:val="left"/>
              <w:rPr>
                <w:b w:val="0"/>
                <w:bCs w:val="0"/>
              </w:rPr>
            </w:pPr>
            <w:commentRangeStart w:id="6"/>
            <w:r>
              <w:rPr>
                <w:b w:val="0"/>
                <w:bCs w:val="0"/>
                <w:highlight w:val="yellow"/>
              </w:rPr>
              <w:t>Audita los procesos del Sistema de Gestión de Seguridad de la Información que soportan a los SBIA (GSI).</w:t>
            </w:r>
            <w:commentRangeEnd w:id="6"/>
            <w:r w:rsidR="00DE41F6">
              <w:rPr>
                <w:rStyle w:val="Refdecomentario"/>
                <w:b w:val="0"/>
                <w:bCs w:val="0"/>
                <w:sz w:val="22"/>
                <w:szCs w:val="22"/>
              </w:rPr>
              <w:commentReference w:id="6"/>
            </w:r>
          </w:p>
          <w:p w14:paraId="481BC02B"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Efectúa el análisis de riesgo y las pruebas de vulnerabilidad de los SBIA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En materia de negocio: aporta a la Comisión de Gobierno de IA la visión del</w:t>
            </w:r>
            <w:r w:rsidRPr="005B30EE">
              <w:rPr>
                <w:b w:val="0"/>
                <w:bCs w:val="0"/>
                <w:highlight w:val="lightGray"/>
              </w:rPr>
              <w:t xml:space="preserve"> </w:t>
            </w:r>
            <w:r w:rsidRPr="005B30EE">
              <w:rPr>
                <w:b w:val="0"/>
                <w:bCs w:val="0"/>
                <w:highlight w:val="lightGray"/>
              </w:rPr>
              <w:t xml:space="preserve">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lastRenderedPageBreak/>
              <w:t>Contribuye a la</w:t>
            </w:r>
            <w:r w:rsidRPr="005B30EE">
              <w:rPr>
                <w:b w:val="0"/>
                <w:bCs w:val="0"/>
                <w:highlight w:val="lightGray"/>
              </w:rPr>
              <w:t xml:space="preserve"> </w:t>
            </w:r>
            <w:r w:rsidRPr="005B30EE">
              <w:rPr>
                <w:b w:val="0"/>
                <w:bCs w:val="0"/>
                <w:highlight w:val="lightGray"/>
              </w:rPr>
              <w:t>evaluación del componente de IA con el conocimiento operativo de los procesos</w:t>
            </w:r>
            <w:r w:rsidRPr="005B30EE">
              <w:rPr>
                <w:b w:val="0"/>
                <w:bCs w:val="0"/>
                <w:highlight w:val="lightGray"/>
              </w:rPr>
              <w:t xml:space="preserve"> </w:t>
            </w:r>
            <w:r w:rsidRPr="005B30EE">
              <w:rPr>
                <w:b w:val="0"/>
                <w:bCs w:val="0"/>
                <w:highlight w:val="lightGray"/>
              </w:rPr>
              <w:t xml:space="preserve">de dicho ámbito y de su impacto en los administrados. Su participación </w:t>
            </w:r>
            <w:r w:rsidRPr="005B30EE">
              <w:rPr>
                <w:b w:val="0"/>
                <w:bCs w:val="0"/>
                <w:highlight w:val="lightGray"/>
              </w:rPr>
              <w:t>es permanente</w:t>
            </w:r>
            <w:r w:rsidRPr="005B30EE">
              <w:rPr>
                <w:b w:val="0"/>
                <w:bCs w:val="0"/>
                <w:highlight w:val="lightGray"/>
              </w:rPr>
              <w:t xml:space="preserve"> y no sustituye la del propietario del caso de uso, a quien la Comisión</w:t>
            </w:r>
            <w:r w:rsidRPr="005B30EE">
              <w:rPr>
                <w:b w:val="0"/>
                <w:bCs w:val="0"/>
                <w:highlight w:val="lightGray"/>
              </w:rPr>
              <w:t xml:space="preserve"> </w:t>
            </w:r>
            <w:r w:rsidRPr="005B30EE">
              <w:rPr>
                <w:b w:val="0"/>
                <w:bCs w:val="0"/>
                <w:highlight w:val="lightGray"/>
              </w:rPr>
              <w:t>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7" w:name="_Toc235003966"/>
      <w:r>
        <w:rPr>
          <w:rFonts w:cs="Arial"/>
          <w:bCs/>
          <w:color w:val="000000"/>
          <w:szCs w:val="22"/>
        </w:rPr>
        <w:t>DISPOSICIONES ESPECÍFICAS</w:t>
      </w:r>
      <w:bookmarkEnd w:id="7"/>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77777777" w:rsidR="00863A18" w:rsidRPr="00923C59" w:rsidRDefault="00E950CF"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t>Todo SBIA en la SUNAT sigue un ciclo de vida gestionado con las siguientes etapas:</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50"/>
        <w:gridCol w:w="2427"/>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coordina la evaluación técnica, legal, ética y operativa de la iniciativa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77777777" w:rsidR="00E67A73" w:rsidRDefault="00000000">
            <w:pPr>
              <w:spacing w:before="20" w:after="20" w:line="276" w:lineRule="auto"/>
              <w:rPr>
                <w:rFonts w:ascii="Arial" w:hAnsi="Arial" w:cs="Arial"/>
              </w:rPr>
            </w:pPr>
            <w:r>
              <w:rPr>
                <w:rFonts w:ascii="Arial" w:eastAsia="Arial" w:hAnsi="Arial" w:cs="Arial"/>
                <w:highlight w:val="yellow"/>
              </w:rPr>
              <w:t>Aprobación de la clasificación de riesgo y de la viabilidad de la iniciativa, conforme al numeral 6.1.2.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77777777" w:rsidR="00E67A73" w:rsidRDefault="00000000">
            <w:pPr>
              <w:spacing w:before="20" w:after="20" w:line="276" w:lineRule="auto"/>
              <w:rPr>
                <w:rFonts w:ascii="Arial" w:hAnsi="Arial" w:cs="Arial"/>
              </w:rPr>
            </w:pPr>
            <w:r>
              <w:rPr>
                <w:rFonts w:ascii="Arial" w:eastAsia="Arial" w:hAnsi="Arial" w:cs="Arial"/>
                <w:highlight w:val="yellow"/>
              </w:rPr>
              <w:t>Las gerencias competentes de la INSI ejecutan el desarrollo del SBIA o gestionan su adquisición. La Oficina de Seguridad Informática evalúa y propone los requisitos de seguridad del SBIA, los cuales se incorporan como requisitos no funcionales.</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77777777" w:rsidR="00E67A73" w:rsidRDefault="00000000">
            <w:pPr>
              <w:spacing w:before="20" w:after="20" w:line="276" w:lineRule="auto"/>
              <w:rPr>
                <w:rFonts w:ascii="Arial" w:hAnsi="Arial" w:cs="Arial"/>
              </w:rPr>
            </w:pPr>
            <w:r>
              <w:rPr>
                <w:rFonts w:ascii="Arial" w:eastAsia="Arial" w:hAnsi="Arial" w:cs="Arial"/>
                <w:highlight w:val="yellow"/>
              </w:rPr>
              <w:t xml:space="preserve">La Gerencia de Calidad de Sistemas conduce las pruebas de verificación y validación de calidad, y la Oficina de Seguridad Informática efectúa el análisis de riesgo y las pruebas de vulnerabilidad, incluido el red teaming </w:t>
            </w:r>
            <w:r>
              <w:rPr>
                <w:rFonts w:ascii="Arial" w:eastAsia="Arial" w:hAnsi="Arial" w:cs="Arial"/>
                <w:highlight w:val="yellow"/>
              </w:rPr>
              <w:lastRenderedPageBreak/>
              <w:t>para riesgo alto. Con la conformidad de ambas y de la unidad de organización propietaria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77777777" w:rsidR="00E67A73"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6.1.2</w:t>
      </w:r>
      <w:r>
        <w:rPr>
          <w:rFonts w:ascii="Arial" w:hAnsi="Arial" w:cs="Arial"/>
          <w:color w:val="000000"/>
          <w:highlight w:val="cyan"/>
        </w:rPr>
        <w:tab/>
        <w:t>Los hitos de aprobación del ciclo de vida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28B8A15A"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6.1.4</w:t>
      </w:r>
      <w:r>
        <w:rPr>
          <w:rFonts w:ascii="Arial" w:eastAsia="Arial" w:hAnsi="Arial" w:cs="Arial"/>
          <w:color w:val="000000"/>
          <w:highlight w:val="yellow"/>
        </w:rPr>
        <w:tab/>
        <w:t>La Comisión de Gobierno de IA distingue dos situaciones respecto de un caso de uso de SBIA:</w:t>
      </w:r>
    </w:p>
    <w:p w14:paraId="4E12C55F" w14:textId="77777777" w:rsidR="0018147B" w:rsidRPr="00344C8A" w:rsidRDefault="00000000" w:rsidP="00344C8A">
      <w:pPr>
        <w:pStyle w:val="Prrafodelista"/>
        <w:numPr>
          <w:ilvl w:val="1"/>
          <w:numId w:val="22"/>
        </w:numPr>
        <w:spacing w:before="0" w:after="60" w:line="276" w:lineRule="auto"/>
        <w:ind w:left="1701"/>
        <w:rPr>
          <w:b w:val="0"/>
          <w:bCs w:val="0"/>
        </w:rPr>
      </w:pPr>
      <w:r>
        <w:rPr>
          <w:b w:val="0"/>
          <w:bCs w:val="0"/>
          <w:color w:val="000000"/>
          <w:highlight w:val="yellow"/>
        </w:rPr>
        <w:t>Observaciones subsanables (acompañamiento). Cuando la iniciativa presenta debilidades en el análisis de generación de valor, no cuenta con presupuesto identificado o la Ficha de Evaluación de Caso de Uso (Anexo N.° 4) está incompleta, la Comisión de Gobierno de IA brinda acompañamiento al propietario del caso de uso para fortalecer la propuesta antes de elevarla nuevamente. Ninguna iniciativa se descarta por estas causas.</w:t>
      </w:r>
    </w:p>
    <w:p w14:paraId="412AB8E2" w14:textId="77777777" w:rsidR="0018147B" w:rsidRPr="00344C8A" w:rsidRDefault="00000000" w:rsidP="00344C8A">
      <w:pPr>
        <w:pStyle w:val="Prrafodelista"/>
        <w:numPr>
          <w:ilvl w:val="1"/>
          <w:numId w:val="22"/>
        </w:numPr>
        <w:spacing w:after="60" w:line="276" w:lineRule="auto"/>
        <w:ind w:left="1701"/>
        <w:rPr>
          <w:b w:val="0"/>
          <w:bCs w:val="0"/>
          <w:color w:val="000000"/>
        </w:rPr>
      </w:pPr>
      <w:r>
        <w:rPr>
          <w:b w:val="0"/>
          <w:bCs w:val="0"/>
          <w:color w:val="000000"/>
          <w:highlight w:val="yellow"/>
        </w:rPr>
        <w:lastRenderedPageBreak/>
        <w:t xml:space="preserve">No procedencia. Cuando el SBIA es clasificado como de </w:t>
      </w:r>
      <w:r>
        <w:rPr>
          <w:b w:val="0"/>
          <w:bCs w:val="0"/>
          <w:color w:val="000000"/>
          <w:highlight w:val="cyan"/>
        </w:rPr>
        <w:t>uso indebido</w:t>
      </w:r>
      <w:r>
        <w:rPr>
          <w:b w:val="0"/>
          <w:bCs w:val="0"/>
          <w:color w:val="000000"/>
          <w:highlight w:val="yellow"/>
        </w:rPr>
        <w:t xml:space="preserve"> conforme al artículo 23 del RLIA, contraviene la Política de Uso Seguro, Responsable y Ético de los SBIA o la normativa vigente, o no cuenta con pronunciamiento favorable de la Comisión de Gobierno de IA sobre su viabilidad técnica, la Comisión fundamenta por escrito la no procedencia y la eleva al CGTD para su decisión definitiva en acta.</w:t>
      </w:r>
    </w:p>
    <w:p w14:paraId="1F039B1B" w14:textId="77777777" w:rsidR="00E67A73" w:rsidRDefault="00000000">
      <w:pPr>
        <w:spacing w:after="60" w:line="276" w:lineRule="auto"/>
        <w:ind w:left="1276"/>
        <w:jc w:val="both"/>
        <w:rPr>
          <w:rFonts w:ascii="Arial" w:eastAsia="Arial" w:hAnsi="Arial" w:cs="Arial"/>
          <w:color w:val="000000"/>
        </w:rPr>
      </w:pPr>
      <w:r>
        <w:rPr>
          <w:rFonts w:ascii="Arial" w:eastAsia="Arial" w:hAnsi="Arial" w:cs="Arial"/>
          <w:color w:val="000000"/>
          <w:highlight w:val="yellow"/>
        </w:rPr>
        <w:t>En la evaluación de la generación de valor, el beneficio puede sustentarse a nivel de un conjunto o programa de SBIA cuando la iniciativa forme parte de un portafolio, e incluir beneficios cualitativos y de control de procesos además de los cuantitativos.</w:t>
      </w:r>
    </w:p>
    <w:p w14:paraId="68622EF3" w14:textId="4C185B95" w:rsidR="00E67A73" w:rsidRDefault="00000000" w:rsidP="00166F8B">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A72414">
        <w:rPr>
          <w:rFonts w:ascii="Arial" w:hAnsi="Arial" w:cs="Arial"/>
          <w:color w:val="000000"/>
          <w:highlight w:val="lightGray"/>
        </w:rPr>
        <w:t xml:space="preserve"> </w:t>
      </w:r>
      <w:r w:rsidR="00166F8B" w:rsidRPr="00166F8B">
        <w:rPr>
          <w:rFonts w:ascii="Arial" w:hAnsi="Arial" w:cs="Arial"/>
          <w:color w:val="000000"/>
          <w:highlight w:val="lightGray"/>
        </w:rPr>
        <w:t>Por comprender actuaciones a cargo de unidades de organización distintas de la INSI, su formulación recoge los aportes de dichas unidades y su aprobación</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técnicos de diseño de la arquitectura de los SBIA, el contenido de los entregables de cada etapa, los tipos y las técnicas de prueba aplicables según</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el nivel de riesgo, los controles de contención, las prácticas de monitoreo y las condiciones de retiro. En tanto no se apruebe, los SBIA siguen el ciclo de</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vida del numeral 6.1.1 y la normativa de desarrollo de sistemas vigente en la SUNAT</w:t>
      </w:r>
      <w:r w:rsidR="00166F8B" w:rsidRPr="00166F8B">
        <w:rPr>
          <w:rFonts w:ascii="Arial" w:hAnsi="Arial" w:cs="Arial"/>
          <w:color w:val="000000"/>
          <w:highlight w:val="lightGray"/>
        </w:rPr>
        <w:t>.</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w:t>
      </w:r>
      <w:r>
        <w:rPr>
          <w:rFonts w:ascii="Arial" w:eastAsia="Arial" w:hAnsi="Arial" w:cs="Arial"/>
          <w:color w:val="000000"/>
          <w:highlight w:val="yellow"/>
        </w:rPr>
        <w:lastRenderedPageBreak/>
        <w:t xml:space="preserve">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77777777" w:rsidR="00F91DE2"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cyan"/>
        </w:rPr>
        <w:t>La prohibición del uso indebido se asegura mediante la clasificación de riesgo previa y obligatoria, el filtro de no procedencia y el registro obligatorio en el Inventario Institucional de SBIA. Ante la duda sobre si un SBIA constituye uso indebido, la SUNAT puede formular a la SGTD la consulta prevista en el artículo 23 del RLIA.</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 xml:space="preserve">Cuando la EIA detecte riesgos que afecten los derechos fundamentales o puedan generar decisiones automatizadas erróneas, el propietario del caso de uso y el equipo técnico del SBIA adoptan las medidas necesarias para mitigar </w:t>
      </w:r>
      <w:r>
        <w:rPr>
          <w:rFonts w:ascii="Arial" w:eastAsia="Arial" w:hAnsi="Arial" w:cs="Arial"/>
          <w:color w:val="000000"/>
          <w:highlight w:val="yellow"/>
        </w:rPr>
        <w:lastRenderedPageBreak/>
        <w:t>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7898CA60"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w:t>
      </w:r>
      <w:r w:rsidR="00B27FA6">
        <w:rPr>
          <w:rFonts w:ascii="Arial" w:eastAsia="Arial" w:hAnsi="Arial" w:cs="Arial"/>
          <w:color w:val="000000"/>
          <w:highlight w:val="lightGray"/>
        </w:rPr>
        <w:t>(</w:t>
      </w:r>
      <w:r w:rsidRPr="005C3A70">
        <w:rPr>
          <w:rFonts w:ascii="Arial" w:eastAsia="Arial" w:hAnsi="Arial" w:cs="Arial"/>
          <w:color w:val="000000"/>
          <w:highlight w:val="lightGray"/>
        </w:rPr>
        <w:t xml:space="preserve">modelos, conjuntos de datos, componentes generativos y </w:t>
      </w:r>
      <w:r w:rsidRPr="005C3A70">
        <w:rPr>
          <w:rFonts w:ascii="Arial" w:eastAsia="Arial" w:hAnsi="Arial" w:cs="Arial"/>
          <w:color w:val="000000"/>
          <w:highlight w:val="lightGray"/>
        </w:rPr>
        <w:t>agenticos</w:t>
      </w:r>
      <w:r w:rsidRPr="005C3A70">
        <w:rPr>
          <w:rFonts w:ascii="Arial" w:eastAsia="Arial" w:hAnsi="Arial" w:cs="Arial"/>
          <w:color w:val="000000"/>
          <w:highlight w:val="lightGray"/>
        </w:rPr>
        <w:t>, e infraestructura especializada</w:t>
      </w:r>
      <w:r w:rsidR="00B27FA6">
        <w:rPr>
          <w:rFonts w:ascii="Arial" w:eastAsia="Arial" w:hAnsi="Arial" w:cs="Arial"/>
          <w:color w:val="000000"/>
          <w:highlight w:val="lightGray"/>
        </w:rPr>
        <w:t>),</w:t>
      </w:r>
      <w:r w:rsidRPr="005C3A70">
        <w:rPr>
          <w:rFonts w:ascii="Arial" w:eastAsia="Arial" w:hAnsi="Arial" w:cs="Arial"/>
          <w:color w:val="000000"/>
          <w:highlight w:val="lightGray"/>
        </w:rPr>
        <w:t xml:space="preserve">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6.5.4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3E104098" w14:textId="51207D41"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6.5.5</w:t>
      </w:r>
      <w:r>
        <w:rPr>
          <w:rFonts w:ascii="Arial" w:eastAsia="Arial" w:hAnsi="Arial" w:cs="Arial"/>
          <w:color w:val="000000"/>
          <w:highlight w:val="lightGray"/>
        </w:rPr>
        <w:t xml:space="preserve">   Los </w:t>
      </w:r>
      <w:r w:rsidRPr="005C3A70">
        <w:rPr>
          <w:rFonts w:ascii="Arial" w:eastAsia="Arial" w:hAnsi="Arial" w:cs="Arial"/>
          <w:color w:val="000000"/>
          <w:highlight w:val="lightGray"/>
        </w:rPr>
        <w:t>SBIA que ejecuten acciones sobre sistemas, datos o procesos con algún grado de autonomía</w:t>
      </w:r>
      <w:r>
        <w:rPr>
          <w:rFonts w:ascii="Arial" w:eastAsia="Arial" w:hAnsi="Arial" w:cs="Arial"/>
          <w:color w:val="000000"/>
          <w:highlight w:val="lightGray"/>
        </w:rPr>
        <w:t xml:space="preserve"> </w:t>
      </w:r>
      <w:r w:rsidRPr="005C3A70">
        <w:rPr>
          <w:rFonts w:ascii="Arial" w:eastAsia="Arial" w:hAnsi="Arial" w:cs="Arial"/>
          <w:color w:val="000000"/>
          <w:highlight w:val="lightGray"/>
        </w:rPr>
        <w:t>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3ADA6EC5" w14:textId="77777777"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704801AF"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La publicación del código fuente de los SBIA financiados con fondos públicos, con licencia libre o abierta en la Plataforma Nacional de Software Público Peruano (PNSSP), se sujeta a la determinación previa de su publicabilidad. </w:t>
      </w:r>
      <w:r w:rsidRPr="005C3A70">
        <w:rPr>
          <w:rFonts w:ascii="Arial" w:eastAsia="Arial" w:hAnsi="Arial" w:cs="Arial"/>
          <w:color w:val="000000"/>
          <w:highlight w:val="lightGray"/>
        </w:rPr>
        <w:lastRenderedPageBreak/>
        <w:t xml:space="preserve">Dicha determinación verifica que el código no revele información sujeta a reserva tributaria conforme al artículo 85 del TUO del Código Tributario, información protegida por confidencialidad aduanera, ni reglas de detección de riesgo cuya divulgación comprometa la función de control. La GA, con opinión de la INALI y de la Oficina de Seguridad Informática, determina la publicabilidad antes de cada liberación mayor; la GDS ejecuta la publicación cuando corresponda. </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lastRenderedPageBreak/>
        <w:t>Dispone de los medios técnicos y la autoridad para detener, corregir o invalidar una decisión del SBIA cuando lo considere necesario.</w:t>
      </w:r>
    </w:p>
    <w:p w14:paraId="37346EF0" w14:textId="77777777" w:rsidR="00863A18" w:rsidRPr="00923C59"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7190B843" w14:textId="77777777" w:rsidR="00863A18"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La Comisión de Gobierno de IA verifica la existencia de estas medidas como parte de la evaluación de viabilidad.</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75904C6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 red teaming previo al despliegue de SBIA de riesgo alto;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87B4A9C"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t>Todo SBIA que procese reserva tributaria opera exclusivamente en infraestructura bajo control de la SUNAT.</w:t>
      </w:r>
    </w:p>
    <w:p w14:paraId="2CEA2E3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w:t>
      </w:r>
      <w:r>
        <w:rPr>
          <w:rFonts w:ascii="Arial" w:eastAsia="Arial" w:hAnsi="Arial" w:cs="Arial"/>
          <w:color w:val="000000"/>
          <w:highlight w:val="cyan"/>
        </w:rPr>
        <w:lastRenderedPageBreak/>
        <w:t>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P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lastRenderedPageBreak/>
        <w:t xml:space="preserve">6.8.5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personales. El OGD identifica los conjuntos candidatos y propone al CGTD su publicación.</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alto: monitoreo continuo 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965A5B3"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El análisis de riesgo y las pruebas de vulnerabilidad sobre cada SBIA corresponden a la Oficina de Seguridad Informática, conforme a la etapa de certificación y validación del numeral 6.1.1. Con la concurrencia de ambas actividades y del monitoreo previsto en el numeral 6.10, la SUNAT satisface la obligación de auditorías de seguridad digital del literal c) del artículo 29 del RLIA.</w:t>
      </w:r>
    </w:p>
    <w:p w14:paraId="0B9298C6"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Los resultados de las auditorías alimentan el informe trimestral de la Comisión de Gobierno de IA al CGTD.</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48924DD9" w14:textId="77777777" w:rsidR="0018147B" w:rsidRPr="00F9075F" w:rsidRDefault="00000000">
      <w:pPr>
        <w:pStyle w:val="Prrafodelista"/>
        <w:numPr>
          <w:ilvl w:val="0"/>
          <w:numId w:val="5"/>
        </w:numPr>
        <w:spacing w:before="0" w:after="40" w:line="276" w:lineRule="auto"/>
        <w:ind w:left="1701"/>
        <w:rPr>
          <w:b w:val="0"/>
          <w:bCs w:val="0"/>
        </w:rPr>
      </w:pPr>
      <w:r>
        <w:rPr>
          <w:b w:val="0"/>
          <w:bCs w:val="0"/>
          <w:color w:val="000000"/>
          <w:highlight w:val="cyan"/>
        </w:rPr>
        <w:lastRenderedPageBreak/>
        <w:t>No ingresar información sujeta a reserva tributaria ni datos personales de contribuyentes u operadores aduaneros en herramientas de IA que no estén autorizadas para ese tratamiento en el catálogo institucional. El catálogo indica, para cada herramienta, los tipos de información que puede procesar. El tratamiento de información sujeta a reserva tributaria se rige por el numeral 6.7.3.</w:t>
      </w:r>
    </w:p>
    <w:p w14:paraId="2FC15DE4"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6.11.2</w:t>
      </w:r>
      <w:r>
        <w:rPr>
          <w:rFonts w:ascii="Arial" w:eastAsia="Arial" w:hAnsi="Arial" w:cs="Arial"/>
          <w:color w:val="000000"/>
          <w:highlight w:val="yellow"/>
        </w:rPr>
        <w:tab/>
        <w:t>El catálogo de herramientas de IA autorizadas para uso institucional registra las herramientas aprobadas conforme al numeral 6.11.5. El catálogo precisa, para cada herramienta, el ámbito de uso autorizado (uso administrativo general o uso restringido) y si su empleo con información sujeta a reserva tributaria está permitido, en concordancia con los numerales 6.11.1 y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w:t>
      </w:r>
      <w:r>
        <w:rPr>
          <w:rFonts w:ascii="Arial" w:eastAsia="Arial" w:hAnsi="Arial" w:cs="Arial"/>
          <w:color w:val="000000"/>
          <w:highlight w:val="cyan"/>
        </w:rPr>
        <w:lastRenderedPageBreak/>
        <w:t>Procedimiento para el Registro, Control y Retiro de Software de la SUNAT (A-03.3.2-PR-01).</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Los contratos prohíben al proveedor emplear la información de la SUNAT (en particular la sujeta a reserva tributaria y los datos personales) para entrenar, 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AB5DBB">
      <w:pPr>
        <w:pStyle w:val="Prrafodelista"/>
        <w:numPr>
          <w:ilvl w:val="0"/>
          <w:numId w:val="26"/>
        </w:numPr>
        <w:spacing w:before="0" w:line="276" w:lineRule="auto"/>
        <w:ind w:left="1560"/>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lastRenderedPageBreak/>
        <w:t>Los riesgos derivados de su diseño, desarrollo, implementación y uso.</w:t>
      </w:r>
    </w:p>
    <w:p w14:paraId="4C43874D"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AB5DBB">
      <w:pPr>
        <w:tabs>
          <w:tab w:val="left" w:pos="1276"/>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incorpora los requerimientos establecidos en el numeral 28.9 del artículo 28 del Reglamento y adopta medidas adicionales de sensibilización orientadas a promover el uso seguro, responsable y ético de los sistemas 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w:t>
      </w:r>
      <w:r w:rsidRPr="00833CDE">
        <w:rPr>
          <w:rFonts w:ascii="Arial" w:eastAsia="Arial" w:hAnsi="Arial" w:cs="Arial"/>
          <w:color w:val="000000"/>
          <w:highlight w:val="lightGray"/>
        </w:rPr>
        <w:lastRenderedPageBreak/>
        <w:t>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 La OII supervisa el cumplimiento de los principios éticos en los SBIA, evalúa los riesgos de sesgo y discriminación y administra el canal de consultas éticas en materia de IA. 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Pr="002D136C" w:rsidRDefault="00326739" w:rsidP="002D136C">
      <w:pPr>
        <w:pStyle w:val="SubtituloDONI"/>
        <w:spacing w:line="276" w:lineRule="auto"/>
        <w:ind w:left="851"/>
        <w:rPr>
          <w:color w:val="000000"/>
          <w:highlight w:val="lightGray"/>
        </w:rPr>
      </w:pPr>
      <w:r w:rsidRPr="002D136C">
        <w:rPr>
          <w:highlight w:val="lightGray"/>
        </w:rPr>
        <w:t>6.15 De la articulación con la formulación de iniciativas, proyectos e inversiones</w:t>
      </w:r>
    </w:p>
    <w:p w14:paraId="0BD19C27" w14:textId="61BE8FE3"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6.15.1 Toda iniciativa, requerimiento o proyecto que incorpore o prevea un componente basado en IA requiere la opinión de viabilidad de la Comisión de Gobierno de IA sobre dicho componente. La opinión es insumo del análisis que sustenta la decisión que corresponda y es determinante respecto del componente de IA; no sustituye las aprobaciones que competen a la Alta Dirección ni las de los sistemas administrativos del Estado. Se emite sobre la Ficha de Evaluación de Caso de Uso (Anexo N.° 4), adecuada a la naturaleza y magnitud de la iniciativa, requerimiento o proyecto.</w:t>
      </w:r>
    </w:p>
    <w:p w14:paraId="036045F6" w14:textId="1232AD42"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1F688DEA" w14:textId="12F8070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6.15.3 En la formulación de proyectos institucionales conforme al MGPP, cuando se identifique un componente basado en IA se incorpora la opinión de la Comisión como parte del caso de negocio, con carácter previo a su aprobación.</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 xml:space="preserve">6.15.4 Cuando un proyecto de inversión pública sujeto al Sistema Nacional de Programación Multianual y Gestión de Inversiones incorpore un componente </w:t>
      </w:r>
      <w:r w:rsidRPr="002D136C">
        <w:rPr>
          <w:rFonts w:ascii="Arial" w:hAnsi="Arial" w:cs="Arial"/>
          <w:highlight w:val="lightGray"/>
        </w:rPr>
        <w:lastRenderedPageBreak/>
        <w:t>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4D30DF90" w14:textId="3F297E38" w:rsidR="000153F0" w:rsidRPr="00A72414" w:rsidRDefault="00326739" w:rsidP="00A72414">
      <w:pPr>
        <w:spacing w:after="60" w:line="276" w:lineRule="auto"/>
        <w:ind w:left="1276" w:hanging="709"/>
        <w:jc w:val="both"/>
        <w:rPr>
          <w:rFonts w:ascii="Arial" w:eastAsia="Arial" w:hAnsi="Arial" w:cs="Arial"/>
          <w:color w:val="000000"/>
          <w:highlight w:val="yellow"/>
        </w:rPr>
      </w:pPr>
      <w:r w:rsidRPr="00A72414">
        <w:rPr>
          <w:rFonts w:ascii="Arial" w:hAnsi="Arial" w:cs="Arial"/>
          <w:highlight w:val="lightGray"/>
        </w:rPr>
        <w:t>6.15.5</w:t>
      </w:r>
      <w:r w:rsidR="00A72414">
        <w:rPr>
          <w:rFonts w:ascii="Arial" w:hAnsi="Arial" w:cs="Arial"/>
          <w:highlight w:val="lightGray"/>
        </w:rPr>
        <w:t xml:space="preserve"> </w:t>
      </w:r>
      <w:r w:rsidRPr="00A72414">
        <w:rPr>
          <w:rFonts w:ascii="Arial" w:hAnsi="Arial" w:cs="Arial"/>
          <w:highlight w:val="lightGray"/>
        </w:rPr>
        <w:t xml:space="preserve">Las unidades competentes de cada instrumento incorporan en sus </w:t>
      </w:r>
      <w:r w:rsidR="00A72414">
        <w:rPr>
          <w:rFonts w:ascii="Arial" w:hAnsi="Arial" w:cs="Arial"/>
          <w:highlight w:val="lightGray"/>
        </w:rPr>
        <w:t xml:space="preserve">documentos normativos </w:t>
      </w:r>
      <w:r w:rsidRPr="00A72414">
        <w:rPr>
          <w:rFonts w:ascii="Arial" w:hAnsi="Arial" w:cs="Arial"/>
          <w:highlight w:val="lightGray"/>
        </w:rPr>
        <w:t>la verificación del componente de IA y la opinión de la Comisión, según sus competencias y sin afectar los sistemas administrativos del Estado, conforme al numeral 7.6</w:t>
      </w:r>
      <w:r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8" w:name="_Toc235003967"/>
      <w:r>
        <w:rPr>
          <w:rFonts w:cs="Arial"/>
          <w:bCs/>
          <w:color w:val="000000"/>
          <w:szCs w:val="22"/>
        </w:rPr>
        <w:lastRenderedPageBreak/>
        <w:t>DISPOSICIONES FINALES</w:t>
      </w:r>
      <w:bookmarkEnd w:id="8"/>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77777777" w:rsidR="00CB040E" w:rsidRPr="00CB040E" w:rsidRDefault="00CB040E" w:rsidP="00CB040E">
      <w:pPr>
        <w:pStyle w:val="SubtituloDONI"/>
        <w:spacing w:line="276" w:lineRule="auto"/>
        <w:ind w:left="851"/>
        <w:rPr>
          <w:b w:val="0"/>
          <w:bCs w:val="0"/>
          <w:highlight w:val="cyan"/>
        </w:rPr>
      </w:pPr>
      <w:r>
        <w:rPr>
          <w:b w:val="0"/>
          <w:bCs w:val="0"/>
          <w:highlight w:val="cyan"/>
        </w:rPr>
        <w:t>7.4</w:t>
      </w:r>
      <w:r>
        <w:rPr>
          <w:b w:val="0"/>
          <w:bCs w:val="0"/>
          <w:highlight w:val="cyan"/>
        </w:rPr>
        <w:tab/>
        <w:t>El Sistema de Gestión de Inteligencia Artificial (SGIA) de la SUNAT se rige por la NTP-ISO/IEC 42001:2025. La 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w:t>
      </w:r>
      <w:r w:rsidR="00174519" w:rsidRPr="00174519">
        <w:rPr>
          <w:b w:val="0"/>
          <w:bCs w:val="0"/>
          <w:highlight w:val="lightGray"/>
        </w:rPr>
        <w:t xml:space="preserve"> </w:t>
      </w:r>
      <w:r w:rsidR="00174519" w:rsidRPr="00174519">
        <w:rPr>
          <w:b w:val="0"/>
          <w:bCs w:val="0"/>
          <w:highlight w:val="lightGray"/>
        </w:rPr>
        <w:t>efectúa conforme a la METDONI. El detalle de aplicación de los Anexos, así como</w:t>
      </w:r>
      <w:r w:rsidR="00174519" w:rsidRPr="00174519">
        <w:rPr>
          <w:b w:val="0"/>
          <w:bCs w:val="0"/>
          <w:highlight w:val="lightGray"/>
        </w:rPr>
        <w:t xml:space="preserve"> </w:t>
      </w:r>
      <w:r w:rsidR="00174519" w:rsidRPr="00174519">
        <w:rPr>
          <w:b w:val="0"/>
          <w:bCs w:val="0"/>
          <w:highlight w:val="lightGray"/>
        </w:rPr>
        <w:t>los formatos, campos e indicadores operativos que de ellos se derivan, se establecen en los documentos normativos institucionales de menor rango</w:t>
      </w:r>
      <w:r w:rsidR="00174519" w:rsidRPr="00174519">
        <w:rPr>
          <w:b w:val="0"/>
          <w:bCs w:val="0"/>
          <w:highlight w:val="lightGray"/>
        </w:rPr>
        <w:t xml:space="preserve"> </w:t>
      </w:r>
      <w:r w:rsidR="00174519" w:rsidRPr="00174519">
        <w:rPr>
          <w:b w:val="0"/>
          <w:bCs w:val="0"/>
          <w:highlight w:val="lightGray"/>
        </w:rPr>
        <w:t>previstos en el numeral 7.6, que las unidades competentes actualizan sin requerir la modificación de la presente directiva.</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w:t>
      </w:r>
      <w:r>
        <w:rPr>
          <w:b w:val="0"/>
          <w:bCs w:val="0"/>
          <w:highlight w:val="yellow"/>
        </w:rPr>
        <w:lastRenderedPageBreak/>
        <w:t>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0F6BB4D0" w14:textId="77777777" w:rsidR="00863A18" w:rsidRPr="00923C59" w:rsidRDefault="00863A18" w:rsidP="00B23382">
      <w:pPr>
        <w:pStyle w:val="Ttulo1"/>
        <w:spacing w:line="276" w:lineRule="auto"/>
        <w:rPr>
          <w:rFonts w:cs="Arial"/>
          <w:szCs w:val="22"/>
        </w:rPr>
      </w:pPr>
      <w:bookmarkStart w:id="9" w:name="_Toc235003968"/>
      <w:r>
        <w:rPr>
          <w:rFonts w:cs="Arial"/>
          <w:bCs/>
          <w:color w:val="000000"/>
          <w:szCs w:val="22"/>
        </w:rPr>
        <w:t>ANEXOS</w:t>
      </w:r>
      <w:bookmarkEnd w:id="9"/>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462A57"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923C59" w:rsidRDefault="00863A18" w:rsidP="00B23382">
            <w:pPr>
              <w:spacing w:before="20" w:after="20" w:line="276" w:lineRule="auto"/>
              <w:rPr>
                <w:rFonts w:ascii="Arial" w:hAnsi="Arial" w:cs="Arial"/>
              </w:rPr>
            </w:pPr>
            <w:r>
              <w:rPr>
                <w:rFonts w:ascii="Arial" w:eastAsia="Arial" w:hAnsi="Arial" w:cs="Arial"/>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Última auditoría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7777777" w:rsidR="00863A18" w:rsidRPr="00923C59" w:rsidRDefault="00863A18" w:rsidP="00B23382">
            <w:pPr>
              <w:spacing w:before="20" w:after="20" w:line="276" w:lineRule="auto"/>
              <w:rPr>
                <w:rFonts w:ascii="Arial" w:hAnsi="Arial" w:cs="Arial"/>
              </w:rPr>
            </w:pPr>
            <w:r>
              <w:rPr>
                <w:rFonts w:ascii="Arial" w:eastAsia="Arial" w:hAnsi="Arial" w:cs="Arial"/>
              </w:rPr>
              <w:t>Fecha de la última auditoría técnica.</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rPr>
        <w:lastRenderedPageBreak/>
        <w:t>Anexo N.° 4: Ficha de Evaluación de Caso de Uso de SBIA</w:t>
      </w:r>
    </w:p>
    <w:p w14:paraId="4E934914" w14:textId="5B0D16A5" w:rsidR="00174519" w:rsidRPr="00923C59" w:rsidRDefault="00174519" w:rsidP="00174519">
      <w:pPr>
        <w:spacing w:before="200" w:after="120" w:line="276" w:lineRule="auto"/>
        <w:jc w:val="both"/>
        <w:rPr>
          <w:rFonts w:ascii="Arial" w:hAnsi="Arial" w:cs="Arial"/>
        </w:rPr>
      </w:pPr>
      <w:r w:rsidRPr="00174519">
        <w:rPr>
          <w:rFonts w:ascii="Arial" w:hAnsi="Arial" w:cs="Arial"/>
          <w:highlight w:val="lightGray"/>
        </w:rPr>
        <w:t>Constituye el contenido mínimo de la evaluación del caso de uso y recoge los</w:t>
      </w:r>
      <w:r w:rsidRPr="00174519">
        <w:rPr>
          <w:rFonts w:ascii="Arial" w:hAnsi="Arial" w:cs="Arial"/>
          <w:highlight w:val="lightGray"/>
        </w:rPr>
        <w:t xml:space="preserve"> </w:t>
      </w:r>
      <w:r w:rsidRPr="00174519">
        <w:rPr>
          <w:rFonts w:ascii="Arial" w:hAnsi="Arial" w:cs="Arial"/>
          <w:highlight w:val="lightGray"/>
        </w:rPr>
        <w:t xml:space="preserve">datos y </w:t>
      </w:r>
      <w:r w:rsidRPr="00174519">
        <w:rPr>
          <w:rFonts w:ascii="Arial" w:hAnsi="Arial" w:cs="Arial"/>
          <w:highlight w:val="lightGray"/>
        </w:rPr>
        <w:t>las evidencias</w:t>
      </w:r>
      <w:r w:rsidRPr="00174519">
        <w:rPr>
          <w:rFonts w:ascii="Arial" w:hAnsi="Arial" w:cs="Arial"/>
          <w:highlight w:val="lightGray"/>
        </w:rPr>
        <w:t xml:space="preserve"> del problema que sustentan la iniciativa, conforme al</w:t>
      </w:r>
      <w:r w:rsidRPr="00174519">
        <w:rPr>
          <w:rFonts w:ascii="Arial" w:hAnsi="Arial" w:cs="Arial"/>
          <w:highlight w:val="lightGray"/>
        </w:rPr>
        <w:t xml:space="preserve"> </w:t>
      </w:r>
      <w:r w:rsidRPr="00174519">
        <w:rPr>
          <w:rFonts w:ascii="Arial" w:hAnsi="Arial" w:cs="Arial"/>
          <w:highlight w:val="lightGray"/>
        </w:rPr>
        <w:t>numeral 28.4 del artículo 28 del RLIA. Se adecúa a la naturaleza y magnitud de la iniciativa, requerimiento o</w:t>
      </w:r>
      <w:r w:rsidRPr="00174519">
        <w:rPr>
          <w:rFonts w:ascii="Arial" w:hAnsi="Arial" w:cs="Arial"/>
          <w:highlight w:val="lightGray"/>
        </w:rPr>
        <w:t xml:space="preserve"> </w:t>
      </w:r>
      <w:r w:rsidRPr="00174519">
        <w:rPr>
          <w:rFonts w:ascii="Arial" w:hAnsi="Arial" w:cs="Arial"/>
          <w:highlight w:val="lightGray"/>
        </w:rPr>
        <w:t>proyecto, conforme al numeral 6.15.1</w:t>
      </w:r>
      <w:r w:rsidRPr="00174519">
        <w:rPr>
          <w:rFonts w:ascii="Arial" w:hAnsi="Arial" w:cs="Arial"/>
        </w:rPr>
        <w:t>.</w:t>
      </w:r>
    </w:p>
    <w:p w14:paraId="0F6F71B1" w14:textId="77777777" w:rsidR="00863A18" w:rsidRPr="00923C59" w:rsidRDefault="00863A18" w:rsidP="00B23382">
      <w:pPr>
        <w:spacing w:after="40" w:line="276" w:lineRule="auto"/>
        <w:jc w:val="both"/>
        <w:rPr>
          <w:rFonts w:ascii="Arial" w:hAnsi="Arial" w:cs="Arial"/>
        </w:rPr>
      </w:pPr>
      <w:r>
        <w:rPr>
          <w:rFonts w:ascii="Arial" w:eastAsia="Arial" w:hAnsi="Arial" w:cs="Arial"/>
          <w:b/>
          <w:bCs/>
          <w:color w:val="000000"/>
        </w:rPr>
        <w:t>Sección 1 — Identificación:</w:t>
      </w:r>
    </w:p>
    <w:p w14:paraId="41695B88" w14:textId="77777777" w:rsidR="00863A18" w:rsidRPr="00923C59" w:rsidRDefault="00863A18">
      <w:pPr>
        <w:pStyle w:val="Prrafodelista"/>
        <w:numPr>
          <w:ilvl w:val="0"/>
          <w:numId w:val="7"/>
        </w:numPr>
        <w:spacing w:after="40" w:line="276" w:lineRule="auto"/>
        <w:rPr>
          <w:b w:val="0"/>
          <w:bCs w:val="0"/>
        </w:rPr>
      </w:pPr>
      <w:r>
        <w:rPr>
          <w:b w:val="0"/>
          <w:bCs w:val="0"/>
          <w:color w:val="000000"/>
        </w:rPr>
        <w:t>Denominación del caso de uso.</w:t>
      </w:r>
    </w:p>
    <w:p w14:paraId="01E94E25" w14:textId="77777777" w:rsidR="00863A18" w:rsidRPr="00923C59" w:rsidRDefault="00863A18">
      <w:pPr>
        <w:pStyle w:val="Prrafodelista"/>
        <w:numPr>
          <w:ilvl w:val="0"/>
          <w:numId w:val="7"/>
        </w:numPr>
        <w:spacing w:after="40" w:line="276" w:lineRule="auto"/>
        <w:rPr>
          <w:b w:val="0"/>
          <w:bCs w:val="0"/>
        </w:rPr>
      </w:pPr>
      <w:r>
        <w:rPr>
          <w:b w:val="0"/>
          <w:bCs w:val="0"/>
          <w:color w:val="000000"/>
        </w:rPr>
        <w:t>Unidad de organización solicitante (propietario del caso de uso).</w:t>
      </w:r>
    </w:p>
    <w:p w14:paraId="6E679DD5"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funcional (nombre, cargo, correo).</w:t>
      </w:r>
    </w:p>
    <w:p w14:paraId="181EDDA9" w14:textId="77777777" w:rsidR="00863A18" w:rsidRPr="00923C59" w:rsidRDefault="00863A18">
      <w:pPr>
        <w:pStyle w:val="Prrafodelista"/>
        <w:numPr>
          <w:ilvl w:val="0"/>
          <w:numId w:val="7"/>
        </w:numPr>
        <w:spacing w:after="40" w:line="276" w:lineRule="auto"/>
        <w:rPr>
          <w:b w:val="0"/>
          <w:bCs w:val="0"/>
        </w:rPr>
      </w:pPr>
      <w:r>
        <w:rPr>
          <w:b w:val="0"/>
          <w:bCs w:val="0"/>
          <w:color w:val="000000"/>
        </w:rPr>
        <w:t>Fecha de presentación.</w:t>
      </w:r>
    </w:p>
    <w:p w14:paraId="732A4860" w14:textId="77777777" w:rsidR="00863A18" w:rsidRPr="00923C59" w:rsidRDefault="00863A18" w:rsidP="00B23382">
      <w:pPr>
        <w:spacing w:before="120" w:after="40" w:line="276" w:lineRule="auto"/>
        <w:jc w:val="both"/>
        <w:rPr>
          <w:rFonts w:ascii="Arial" w:hAnsi="Arial" w:cs="Arial"/>
        </w:rPr>
      </w:pPr>
      <w:r>
        <w:rPr>
          <w:rFonts w:ascii="Arial" w:eastAsia="Arial" w:hAnsi="Arial" w:cs="Arial"/>
          <w:b/>
          <w:bCs/>
          <w:color w:val="000000"/>
        </w:rPr>
        <w:t>Sección 2 — Problema y justificación:</w:t>
      </w:r>
    </w:p>
    <w:p w14:paraId="38277C9E" w14:textId="77777777" w:rsidR="00863A18" w:rsidRPr="00923C59" w:rsidRDefault="00863A18">
      <w:pPr>
        <w:pStyle w:val="Prrafodelista"/>
        <w:numPr>
          <w:ilvl w:val="0"/>
          <w:numId w:val="7"/>
        </w:numPr>
        <w:spacing w:after="40" w:line="276" w:lineRule="auto"/>
        <w:rPr>
          <w:b w:val="0"/>
          <w:bCs w:val="0"/>
        </w:rPr>
      </w:pPr>
      <w:r>
        <w:rPr>
          <w:b w:val="0"/>
          <w:bCs w:val="0"/>
          <w:color w:val="000000"/>
        </w:rPr>
        <w:t>Descripción del problema o necesidad que se busca resolver.</w:t>
      </w:r>
    </w:p>
    <w:p w14:paraId="5DE4890C" w14:textId="77777777" w:rsidR="00863A18" w:rsidRPr="00923C59" w:rsidRDefault="00863A18">
      <w:pPr>
        <w:pStyle w:val="Prrafodelista"/>
        <w:numPr>
          <w:ilvl w:val="0"/>
          <w:numId w:val="7"/>
        </w:numPr>
        <w:spacing w:after="40" w:line="276" w:lineRule="auto"/>
        <w:rPr>
          <w:b w:val="0"/>
          <w:bCs w:val="0"/>
        </w:rPr>
      </w:pPr>
      <w:r>
        <w:rPr>
          <w:b w:val="0"/>
          <w:bCs w:val="0"/>
          <w:color w:val="000000"/>
        </w:rPr>
        <w:t>Situación actual (línea base): volumen de operaciones, tiempo promedio, recursos asignados.</w:t>
      </w:r>
    </w:p>
    <w:p w14:paraId="236A6E6C" w14:textId="77777777" w:rsidR="00863A18" w:rsidRPr="00923C59" w:rsidRDefault="00863A18">
      <w:pPr>
        <w:pStyle w:val="Prrafodelista"/>
        <w:numPr>
          <w:ilvl w:val="0"/>
          <w:numId w:val="7"/>
        </w:numPr>
        <w:spacing w:after="40" w:line="276" w:lineRule="auto"/>
        <w:rPr>
          <w:b w:val="0"/>
          <w:bCs w:val="0"/>
        </w:rPr>
      </w:pPr>
      <w:r>
        <w:rPr>
          <w:b w:val="0"/>
          <w:bCs w:val="0"/>
          <w:color w:val="000000"/>
        </w:rPr>
        <w:t>Objetivo estratégico del PEI con el que se alinea (código y denominación).</w:t>
      </w:r>
    </w:p>
    <w:p w14:paraId="451AEFA3"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3 — Impacto organizacional:</w:t>
      </w:r>
    </w:p>
    <w:p w14:paraId="35682837" w14:textId="77777777" w:rsidR="0018147B" w:rsidRDefault="00000000">
      <w:pPr>
        <w:pStyle w:val="Prrafodelista"/>
        <w:numPr>
          <w:ilvl w:val="0"/>
          <w:numId w:val="7"/>
        </w:numPr>
        <w:spacing w:after="40" w:line="276" w:lineRule="auto"/>
        <w:rPr>
          <w:b w:val="0"/>
          <w:bCs w:val="0"/>
        </w:rPr>
      </w:pPr>
      <w:r>
        <w:rPr>
          <w:b w:val="0"/>
          <w:bCs w:val="0"/>
          <w:color w:val="000000"/>
          <w:highlight w:val="yellow"/>
        </w:rPr>
        <w:t>Precisar si la iniciativa genera impacto organizacional e identificar los procesos, áreas, puestos, personas y capacidades técnicas involucrados.</w:t>
      </w:r>
    </w:p>
    <w:p w14:paraId="77DBA450"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4 — Generación de valor:</w:t>
      </w:r>
    </w:p>
    <w:p w14:paraId="403B8534"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 esperado cuantificado: horas-persona liberadas, reducción de tiempos de proceso, mejora en tasas de detección, incremento de recaudación estimada u otro indicador medible.</w:t>
      </w:r>
    </w:p>
    <w:p w14:paraId="4671E459"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Beneficios cualitativos complementarios (si aplica).</w:t>
      </w:r>
    </w:p>
    <w:p w14:paraId="1A51F69D" w14:textId="77777777" w:rsidR="0018147B" w:rsidRDefault="00000000">
      <w:pPr>
        <w:pStyle w:val="Prrafodelista"/>
        <w:numPr>
          <w:ilvl w:val="0"/>
          <w:numId w:val="7"/>
        </w:numPr>
        <w:spacing w:after="40" w:line="276" w:lineRule="auto"/>
        <w:rPr>
          <w:b w:val="0"/>
          <w:bCs w:val="0"/>
        </w:rPr>
      </w:pPr>
      <w:r>
        <w:rPr>
          <w:b w:val="0"/>
          <w:bCs w:val="0"/>
          <w:color w:val="000000"/>
          <w:highlight w:val="yellow"/>
        </w:rPr>
        <w:t>El beneficio puede sustentarse a nivel de un conjunto o programa de SBIA cuando la iniciativa forme parte de un portafolio institucional.</w:t>
      </w:r>
    </w:p>
    <w:p w14:paraId="556E9510" w14:textId="77777777" w:rsidR="00863A18" w:rsidRPr="00923C59" w:rsidRDefault="00863A18">
      <w:pPr>
        <w:pStyle w:val="Prrafodelista"/>
        <w:numPr>
          <w:ilvl w:val="0"/>
          <w:numId w:val="7"/>
        </w:numPr>
        <w:spacing w:after="40" w:line="276" w:lineRule="auto"/>
        <w:rPr>
          <w:b w:val="0"/>
          <w:bCs w:val="0"/>
        </w:rPr>
      </w:pPr>
      <w:r>
        <w:rPr>
          <w:b w:val="0"/>
          <w:bCs w:val="0"/>
          <w:color w:val="000000"/>
        </w:rPr>
        <w:t>Métrica de éxito propuesta y plazo de medición.</w:t>
      </w:r>
    </w:p>
    <w:p w14:paraId="0E597137"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5 — Inversión y sostenibilidad:</w:t>
      </w:r>
    </w:p>
    <w:p w14:paraId="1858FBC3"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inversión inicial (infraestructura, licencias, servicios, horas de desarrollo</w:t>
      </w:r>
      <w:r>
        <w:rPr>
          <w:b w:val="0"/>
          <w:bCs w:val="0"/>
          <w:highlight w:val="cyan"/>
        </w:rPr>
        <w:t>/servicios de desarrollo).</w:t>
      </w:r>
    </w:p>
    <w:p w14:paraId="28BF24D5"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costos recurrentes anuales (operación, mantenimiento, licencias, personal dedicado).</w:t>
      </w:r>
    </w:p>
    <w:p w14:paraId="47F4D3AC" w14:textId="77777777" w:rsidR="00863A18" w:rsidRPr="00923C59" w:rsidRDefault="00863A18">
      <w:pPr>
        <w:pStyle w:val="Prrafodelista"/>
        <w:numPr>
          <w:ilvl w:val="0"/>
          <w:numId w:val="7"/>
        </w:numPr>
        <w:spacing w:after="40" w:line="276" w:lineRule="auto"/>
        <w:rPr>
          <w:b w:val="0"/>
          <w:bCs w:val="0"/>
        </w:rPr>
      </w:pPr>
      <w:r>
        <w:rPr>
          <w:b w:val="0"/>
          <w:bCs w:val="0"/>
          <w:color w:val="000000"/>
        </w:rPr>
        <w:t>Fuente de financiamiento identificada.</w:t>
      </w:r>
    </w:p>
    <w:p w14:paraId="16695497"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de la operación y mantenimiento post-despliegue.</w:t>
      </w:r>
    </w:p>
    <w:p w14:paraId="61DED5EF"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6 — Análisis de alternativas:</w:t>
      </w:r>
    </w:p>
    <w:p w14:paraId="3CC20AB1" w14:textId="77777777" w:rsidR="00863A18" w:rsidRPr="00923C59" w:rsidRDefault="00863A18">
      <w:pPr>
        <w:pStyle w:val="Prrafodelista"/>
        <w:numPr>
          <w:ilvl w:val="0"/>
          <w:numId w:val="7"/>
        </w:numPr>
        <w:spacing w:after="40" w:line="276" w:lineRule="auto"/>
        <w:rPr>
          <w:b w:val="0"/>
          <w:bCs w:val="0"/>
        </w:rPr>
      </w:pPr>
      <w:r>
        <w:rPr>
          <w:b w:val="0"/>
          <w:bCs w:val="0"/>
          <w:color w:val="000000"/>
        </w:rPr>
        <w:t>¿Se evaluaron soluciones que no requieren IA? Describir.</w:t>
      </w:r>
    </w:p>
    <w:p w14:paraId="7B20EC1C" w14:textId="77777777" w:rsidR="00863A18" w:rsidRPr="00923C59" w:rsidRDefault="00863A18">
      <w:pPr>
        <w:pStyle w:val="Prrafodelista"/>
        <w:numPr>
          <w:ilvl w:val="0"/>
          <w:numId w:val="7"/>
        </w:numPr>
        <w:spacing w:after="40" w:line="276" w:lineRule="auto"/>
        <w:rPr>
          <w:b w:val="0"/>
          <w:bCs w:val="0"/>
        </w:rPr>
      </w:pPr>
      <w:r>
        <w:rPr>
          <w:b w:val="0"/>
          <w:bCs w:val="0"/>
          <w:color w:val="000000"/>
        </w:rPr>
        <w:t>Justificación de por qué una solución basada en IA es preferible frente a las alternativas.</w:t>
      </w:r>
    </w:p>
    <w:p w14:paraId="390ED6C6"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lastRenderedPageBreak/>
        <w:t>Sección 7 — Datos y riesgos preliminares:</w:t>
      </w:r>
    </w:p>
    <w:p w14:paraId="0952334A" w14:textId="77777777" w:rsidR="00863A18" w:rsidRPr="00923C59" w:rsidRDefault="00863A18">
      <w:pPr>
        <w:pStyle w:val="Prrafodelista"/>
        <w:numPr>
          <w:ilvl w:val="0"/>
          <w:numId w:val="7"/>
        </w:numPr>
        <w:spacing w:after="40" w:line="276" w:lineRule="auto"/>
        <w:rPr>
          <w:b w:val="0"/>
          <w:bCs w:val="0"/>
        </w:rPr>
      </w:pPr>
      <w:r>
        <w:rPr>
          <w:b w:val="0"/>
          <w:bCs w:val="0"/>
          <w:color w:val="000000"/>
        </w:rPr>
        <w:t>Datos requeridos (fuentes, tipos, presencia de datos personales o reserva tributaria).</w:t>
      </w:r>
    </w:p>
    <w:p w14:paraId="31864AB1" w14:textId="77777777" w:rsidR="00863A18" w:rsidRPr="00923C59" w:rsidRDefault="00863A18">
      <w:pPr>
        <w:pStyle w:val="Prrafodelista"/>
        <w:numPr>
          <w:ilvl w:val="0"/>
          <w:numId w:val="7"/>
        </w:numPr>
        <w:spacing w:after="40" w:line="276" w:lineRule="auto"/>
        <w:rPr>
          <w:b w:val="0"/>
          <w:bCs w:val="0"/>
        </w:rPr>
      </w:pPr>
      <w:r>
        <w:rPr>
          <w:b w:val="0"/>
          <w:bCs w:val="0"/>
          <w:color w:val="000000"/>
        </w:rPr>
        <w:t>Riesgos preliminares identificados.</w:t>
      </w:r>
    </w:p>
    <w:p w14:paraId="07EC339C" w14:textId="77777777" w:rsidR="00863A18" w:rsidRPr="00923C59" w:rsidRDefault="00863A18">
      <w:pPr>
        <w:pStyle w:val="Prrafodelista"/>
        <w:numPr>
          <w:ilvl w:val="0"/>
          <w:numId w:val="7"/>
        </w:numPr>
        <w:spacing w:after="40" w:line="276" w:lineRule="auto"/>
        <w:rPr>
          <w:b w:val="0"/>
          <w:bCs w:val="0"/>
        </w:rPr>
      </w:pPr>
      <w:r>
        <w:rPr>
          <w:b w:val="0"/>
          <w:bCs w:val="0"/>
          <w:color w:val="000000"/>
        </w:rPr>
        <w:t>Clasificación de riesgo preliminar sugerida por el propietario.</w:t>
      </w:r>
    </w:p>
    <w:p w14:paraId="0B8489D8"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8 — Firmas:</w:t>
      </w:r>
    </w:p>
    <w:p w14:paraId="76A8D059" w14:textId="77777777" w:rsidR="00863A18" w:rsidRPr="00923C59" w:rsidRDefault="00863A18">
      <w:pPr>
        <w:pStyle w:val="Prrafodelista"/>
        <w:numPr>
          <w:ilvl w:val="0"/>
          <w:numId w:val="7"/>
        </w:numPr>
        <w:spacing w:after="40" w:line="276" w:lineRule="auto"/>
        <w:rPr>
          <w:b w:val="0"/>
          <w:bCs w:val="0"/>
        </w:rPr>
      </w:pPr>
      <w:r>
        <w:rPr>
          <w:b w:val="0"/>
          <w:bCs w:val="0"/>
          <w:color w:val="000000"/>
        </w:rPr>
        <w:t>Firma del propietario del caso de uso.</w:t>
      </w:r>
    </w:p>
    <w:p w14:paraId="454DDEF7" w14:textId="77777777" w:rsidR="00863A18" w:rsidRPr="00923C59" w:rsidRDefault="00863A18">
      <w:pPr>
        <w:pStyle w:val="Prrafodelista"/>
        <w:numPr>
          <w:ilvl w:val="0"/>
          <w:numId w:val="7"/>
        </w:numPr>
        <w:spacing w:after="40" w:line="276" w:lineRule="auto"/>
      </w:pPr>
      <w:r>
        <w:rPr>
          <w:b w:val="0"/>
          <w:bCs w:val="0"/>
          <w:color w:val="000000"/>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6"/>
      <w:footerReference w:type="default" r:id="rId17"/>
      <w:pgSz w:w="11906" w:h="16838"/>
      <w:pgMar w:top="1701" w:right="1418" w:bottom="1701" w:left="15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Kut Castro Mario Fernando" w:date="2026-07-21T11:30:00Z" w:initials="MK">
    <w:p w14:paraId="3C0FED1C" w14:textId="77777777" w:rsidR="00DE41F6" w:rsidRDefault="00DE41F6" w:rsidP="00DE41F6">
      <w:pPr>
        <w:pStyle w:val="Textocomentario"/>
      </w:pPr>
      <w:r>
        <w:rPr>
          <w:rStyle w:val="Refdecomentario"/>
        </w:rPr>
        <w:annotationRef/>
      </w:r>
      <w:r>
        <w:t xml:space="preserve">Revisar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0FED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87E4DA" w16cex:dateUtc="2026-07-21T16: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0FED1C" w16cid:durableId="6387E4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41D2F" w14:textId="77777777" w:rsidR="00CC6721" w:rsidRDefault="00CC6721">
      <w:pPr>
        <w:spacing w:after="0" w:line="240" w:lineRule="auto"/>
      </w:pPr>
      <w:r>
        <w:separator/>
      </w:r>
    </w:p>
  </w:endnote>
  <w:endnote w:type="continuationSeparator" w:id="0">
    <w:p w14:paraId="0C0BFA05" w14:textId="77777777" w:rsidR="00CC6721" w:rsidRDefault="00CC67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95523" w14:textId="77777777" w:rsidR="00CC6721" w:rsidRDefault="00CC6721">
      <w:pPr>
        <w:spacing w:after="0" w:line="240" w:lineRule="auto"/>
      </w:pPr>
      <w:r>
        <w:separator/>
      </w:r>
    </w:p>
  </w:footnote>
  <w:footnote w:type="continuationSeparator" w:id="0">
    <w:p w14:paraId="1AF05750" w14:textId="77777777" w:rsidR="00CC6721" w:rsidRDefault="00CC6721">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3"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6"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0"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15" w15:restartNumberingAfterBreak="0">
    <w:nsid w:val="65D30CFE"/>
    <w:multiLevelType w:val="hybridMultilevel"/>
    <w:tmpl w:val="35882B12"/>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1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14"/>
  </w:num>
  <w:num w:numId="2" w16cid:durableId="997340142">
    <w:abstractNumId w:val="2"/>
  </w:num>
  <w:num w:numId="3" w16cid:durableId="818888625">
    <w:abstractNumId w:val="10"/>
  </w:num>
  <w:num w:numId="4" w16cid:durableId="789980796">
    <w:abstractNumId w:val="11"/>
  </w:num>
  <w:num w:numId="5" w16cid:durableId="2135756204">
    <w:abstractNumId w:val="3"/>
  </w:num>
  <w:num w:numId="6" w16cid:durableId="1603613276">
    <w:abstractNumId w:val="5"/>
  </w:num>
  <w:num w:numId="7" w16cid:durableId="1698236715">
    <w:abstractNumId w:val="23"/>
  </w:num>
  <w:num w:numId="8" w16cid:durableId="1567180075">
    <w:abstractNumId w:val="25"/>
  </w:num>
  <w:num w:numId="9" w16cid:durableId="260988981">
    <w:abstractNumId w:val="18"/>
  </w:num>
  <w:num w:numId="10" w16cid:durableId="360321617">
    <w:abstractNumId w:val="12"/>
  </w:num>
  <w:num w:numId="11" w16cid:durableId="11301047">
    <w:abstractNumId w:val="17"/>
  </w:num>
  <w:num w:numId="12" w16cid:durableId="104814016">
    <w:abstractNumId w:val="20"/>
  </w:num>
  <w:num w:numId="13" w16cid:durableId="1885175596">
    <w:abstractNumId w:val="0"/>
  </w:num>
  <w:num w:numId="14" w16cid:durableId="167066823">
    <w:abstractNumId w:val="21"/>
  </w:num>
  <w:num w:numId="15" w16cid:durableId="954553902">
    <w:abstractNumId w:val="19"/>
  </w:num>
  <w:num w:numId="16" w16cid:durableId="1324506319">
    <w:abstractNumId w:val="8"/>
  </w:num>
  <w:num w:numId="17" w16cid:durableId="1839225738">
    <w:abstractNumId w:val="24"/>
  </w:num>
  <w:num w:numId="18" w16cid:durableId="267396013">
    <w:abstractNumId w:val="13"/>
  </w:num>
  <w:num w:numId="19" w16cid:durableId="1228301004">
    <w:abstractNumId w:val="15"/>
  </w:num>
  <w:num w:numId="20" w16cid:durableId="554125780">
    <w:abstractNumId w:val="6"/>
  </w:num>
  <w:num w:numId="21" w16cid:durableId="1964574287">
    <w:abstractNumId w:val="9"/>
  </w:num>
  <w:num w:numId="22" w16cid:durableId="1868059492">
    <w:abstractNumId w:val="16"/>
  </w:num>
  <w:num w:numId="23" w16cid:durableId="529534098">
    <w:abstractNumId w:val="1"/>
  </w:num>
  <w:num w:numId="24" w16cid:durableId="1828084485">
    <w:abstractNumId w:val="7"/>
  </w:num>
  <w:num w:numId="25" w16cid:durableId="1934242185">
    <w:abstractNumId w:val="4"/>
  </w:num>
  <w:num w:numId="26" w16cid:durableId="1799032513">
    <w:abstractNumId w:val="22"/>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t Castro Mario Fernando">
    <w15:presenceInfo w15:providerId="AD" w15:userId="S::mkutc@sunat.gob.pe::7f4a71c1-9edb-4217-8bf6-fb9d10e7d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7"/>
  <w:displayBackgroundShape/>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7728"/>
    <w:rsid w:val="000B6CAE"/>
    <w:rsid w:val="000C43E2"/>
    <w:rsid w:val="000E4C2C"/>
    <w:rsid w:val="000E5B6B"/>
    <w:rsid w:val="000E7544"/>
    <w:rsid w:val="001164EE"/>
    <w:rsid w:val="00141E9A"/>
    <w:rsid w:val="001437F1"/>
    <w:rsid w:val="00153C2B"/>
    <w:rsid w:val="001609F8"/>
    <w:rsid w:val="00164552"/>
    <w:rsid w:val="00166F8B"/>
    <w:rsid w:val="00174519"/>
    <w:rsid w:val="0018147B"/>
    <w:rsid w:val="0018222F"/>
    <w:rsid w:val="001B791A"/>
    <w:rsid w:val="001C5C4D"/>
    <w:rsid w:val="001D0B85"/>
    <w:rsid w:val="001F16B0"/>
    <w:rsid w:val="002102ED"/>
    <w:rsid w:val="00215BA9"/>
    <w:rsid w:val="002222E3"/>
    <w:rsid w:val="00272134"/>
    <w:rsid w:val="002950F6"/>
    <w:rsid w:val="002A5658"/>
    <w:rsid w:val="002D136C"/>
    <w:rsid w:val="002D4E18"/>
    <w:rsid w:val="003071B9"/>
    <w:rsid w:val="003204D8"/>
    <w:rsid w:val="00325777"/>
    <w:rsid w:val="00325F1C"/>
    <w:rsid w:val="00326739"/>
    <w:rsid w:val="003325F7"/>
    <w:rsid w:val="003327C9"/>
    <w:rsid w:val="0033689D"/>
    <w:rsid w:val="00344C8A"/>
    <w:rsid w:val="003530CE"/>
    <w:rsid w:val="003636BC"/>
    <w:rsid w:val="003665C6"/>
    <w:rsid w:val="003922D5"/>
    <w:rsid w:val="003A6AB9"/>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35686"/>
    <w:rsid w:val="00537E02"/>
    <w:rsid w:val="00567C78"/>
    <w:rsid w:val="00570612"/>
    <w:rsid w:val="00594919"/>
    <w:rsid w:val="005B30EE"/>
    <w:rsid w:val="005C3A70"/>
    <w:rsid w:val="005C4042"/>
    <w:rsid w:val="005C67EA"/>
    <w:rsid w:val="005D5880"/>
    <w:rsid w:val="005D754C"/>
    <w:rsid w:val="005F24C2"/>
    <w:rsid w:val="005F3265"/>
    <w:rsid w:val="0060099A"/>
    <w:rsid w:val="00603B7D"/>
    <w:rsid w:val="0065257C"/>
    <w:rsid w:val="00662A54"/>
    <w:rsid w:val="006653DD"/>
    <w:rsid w:val="00665F3F"/>
    <w:rsid w:val="00677324"/>
    <w:rsid w:val="006806C8"/>
    <w:rsid w:val="00682244"/>
    <w:rsid w:val="00691FB4"/>
    <w:rsid w:val="00697B72"/>
    <w:rsid w:val="006B3AF5"/>
    <w:rsid w:val="006B4241"/>
    <w:rsid w:val="006C344B"/>
    <w:rsid w:val="00714044"/>
    <w:rsid w:val="007324DC"/>
    <w:rsid w:val="0075082A"/>
    <w:rsid w:val="00771AB8"/>
    <w:rsid w:val="007808CA"/>
    <w:rsid w:val="007C4F40"/>
    <w:rsid w:val="007D181A"/>
    <w:rsid w:val="0080359D"/>
    <w:rsid w:val="00807C98"/>
    <w:rsid w:val="0081311B"/>
    <w:rsid w:val="00814A4B"/>
    <w:rsid w:val="008326EA"/>
    <w:rsid w:val="00833450"/>
    <w:rsid w:val="00833CDE"/>
    <w:rsid w:val="00836DA1"/>
    <w:rsid w:val="0084436F"/>
    <w:rsid w:val="008540A5"/>
    <w:rsid w:val="00863A18"/>
    <w:rsid w:val="0087077E"/>
    <w:rsid w:val="008A143D"/>
    <w:rsid w:val="008B010D"/>
    <w:rsid w:val="008B4A51"/>
    <w:rsid w:val="008D0FF0"/>
    <w:rsid w:val="008D42AD"/>
    <w:rsid w:val="008D444A"/>
    <w:rsid w:val="008E1026"/>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72414"/>
    <w:rsid w:val="00A80853"/>
    <w:rsid w:val="00A80AFB"/>
    <w:rsid w:val="00A82512"/>
    <w:rsid w:val="00A82BA1"/>
    <w:rsid w:val="00A82FE3"/>
    <w:rsid w:val="00A84B43"/>
    <w:rsid w:val="00A84EC0"/>
    <w:rsid w:val="00A964A4"/>
    <w:rsid w:val="00AA0ACB"/>
    <w:rsid w:val="00AA2DB4"/>
    <w:rsid w:val="00AB0407"/>
    <w:rsid w:val="00AB5DBB"/>
    <w:rsid w:val="00AD458B"/>
    <w:rsid w:val="00AD5F7D"/>
    <w:rsid w:val="00AE1F2D"/>
    <w:rsid w:val="00AE3DBA"/>
    <w:rsid w:val="00AE6854"/>
    <w:rsid w:val="00AF2BA4"/>
    <w:rsid w:val="00B23382"/>
    <w:rsid w:val="00B27FA6"/>
    <w:rsid w:val="00B34A74"/>
    <w:rsid w:val="00B46315"/>
    <w:rsid w:val="00B474EF"/>
    <w:rsid w:val="00B629FD"/>
    <w:rsid w:val="00B63942"/>
    <w:rsid w:val="00B71027"/>
    <w:rsid w:val="00B72BA5"/>
    <w:rsid w:val="00B72DD0"/>
    <w:rsid w:val="00B852DB"/>
    <w:rsid w:val="00B87F34"/>
    <w:rsid w:val="00B9744D"/>
    <w:rsid w:val="00BA798A"/>
    <w:rsid w:val="00BB6113"/>
    <w:rsid w:val="00BC6E5C"/>
    <w:rsid w:val="00BF42FB"/>
    <w:rsid w:val="00BF6420"/>
    <w:rsid w:val="00C01186"/>
    <w:rsid w:val="00C0412A"/>
    <w:rsid w:val="00C051C7"/>
    <w:rsid w:val="00C102C9"/>
    <w:rsid w:val="00C14706"/>
    <w:rsid w:val="00C34A71"/>
    <w:rsid w:val="00C47FC1"/>
    <w:rsid w:val="00C5632E"/>
    <w:rsid w:val="00C5723D"/>
    <w:rsid w:val="00C66B57"/>
    <w:rsid w:val="00C733EA"/>
    <w:rsid w:val="00C736D9"/>
    <w:rsid w:val="00C77327"/>
    <w:rsid w:val="00C817F2"/>
    <w:rsid w:val="00C868D8"/>
    <w:rsid w:val="00C93D4C"/>
    <w:rsid w:val="00CB040E"/>
    <w:rsid w:val="00CC6721"/>
    <w:rsid w:val="00CD5098"/>
    <w:rsid w:val="00CD5536"/>
    <w:rsid w:val="00CE3C2A"/>
    <w:rsid w:val="00CE6C00"/>
    <w:rsid w:val="00CF1187"/>
    <w:rsid w:val="00CF4842"/>
    <w:rsid w:val="00D108CB"/>
    <w:rsid w:val="00D16977"/>
    <w:rsid w:val="00D35170"/>
    <w:rsid w:val="00D42CEC"/>
    <w:rsid w:val="00D44574"/>
    <w:rsid w:val="00D601EF"/>
    <w:rsid w:val="00D75749"/>
    <w:rsid w:val="00D83EE0"/>
    <w:rsid w:val="00DA3E65"/>
    <w:rsid w:val="00DA4B1B"/>
    <w:rsid w:val="00DC2B05"/>
    <w:rsid w:val="00DC7025"/>
    <w:rsid w:val="00DE269D"/>
    <w:rsid w:val="00DE41F6"/>
    <w:rsid w:val="00DF04A0"/>
    <w:rsid w:val="00E22438"/>
    <w:rsid w:val="00E22CB4"/>
    <w:rsid w:val="00E22E28"/>
    <w:rsid w:val="00E3106C"/>
    <w:rsid w:val="00E34945"/>
    <w:rsid w:val="00E67A73"/>
    <w:rsid w:val="00E75696"/>
    <w:rsid w:val="00E87621"/>
    <w:rsid w:val="00E9145B"/>
    <w:rsid w:val="00E950CF"/>
    <w:rsid w:val="00EB62D4"/>
    <w:rsid w:val="00EC1C5F"/>
    <w:rsid w:val="00ED2DC8"/>
    <w:rsid w:val="00ED3F92"/>
    <w:rsid w:val="00F0082B"/>
    <w:rsid w:val="00F0441E"/>
    <w:rsid w:val="00F2135B"/>
    <w:rsid w:val="00F2227C"/>
    <w:rsid w:val="00F378B6"/>
    <w:rsid w:val="00F45DDD"/>
    <w:rsid w:val="00F80506"/>
    <w:rsid w:val="00F9075F"/>
    <w:rsid w:val="00F91DE2"/>
    <w:rsid w:val="00F936FD"/>
    <w:rsid w:val="00FA09F7"/>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4962</TotalTime>
  <Pages>35</Pages>
  <Words>10904</Words>
  <Characters>59975</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144</cp:revision>
  <dcterms:created xsi:type="dcterms:W3CDTF">2026-03-23T21:09:00Z</dcterms:created>
  <dcterms:modified xsi:type="dcterms:W3CDTF">2026-07-29T08:25:00Z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