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En materia de negocio: aporta a la Comisión de Gobierno de IA la visión del</w:t>
            </w:r>
            <w:r w:rsidRPr="005B30EE">
              <w:rPr>
                <w:b w:val="0"/>
                <w:bCs w:val="0"/>
                <w:highlight w:val="lightGray"/>
              </w:rPr>
              <w:t xml:space="preserve"> </w:t>
            </w:r>
            <w:r w:rsidRPr="005B30EE">
              <w:rPr>
                <w:b w:val="0"/>
                <w:bCs w:val="0"/>
                <w:highlight w:val="lightGray"/>
              </w:rPr>
              <w:t xml:space="preserve">ámbito de la Superintendencia Nacional Adjunta que lo designa. </w:t>
            </w:r>
          </w:p>
          <w:p w14:paraId="71793657" w14:textId="456BC3C3"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w:t>
            </w:r>
            <w:r w:rsidRPr="005B30EE">
              <w:rPr>
                <w:b w:val="0"/>
                <w:bCs w:val="0"/>
                <w:highlight w:val="lightGray"/>
              </w:rPr>
              <w:t xml:space="preserve"> </w:t>
            </w:r>
            <w:r w:rsidRPr="005B30EE">
              <w:rPr>
                <w:b w:val="0"/>
                <w:bCs w:val="0"/>
                <w:highlight w:val="lightGray"/>
              </w:rPr>
              <w:t>evaluación del componente de IA con el conocimiento operativo de los procesos</w:t>
            </w:r>
            <w:r w:rsidRPr="005B30EE">
              <w:rPr>
                <w:b w:val="0"/>
                <w:bCs w:val="0"/>
                <w:highlight w:val="lightGray"/>
              </w:rPr>
              <w:t xml:space="preserve"> </w:t>
            </w:r>
            <w:r w:rsidRPr="005B30EE">
              <w:rPr>
                <w:b w:val="0"/>
                <w:bCs w:val="0"/>
                <w:highlight w:val="lightGray"/>
              </w:rPr>
              <w:t xml:space="preserve">de dicho ámbito y de su impacto en los administrados. Su participación </w:t>
            </w:r>
            <w:r w:rsidRPr="005B30EE">
              <w:rPr>
                <w:b w:val="0"/>
                <w:bCs w:val="0"/>
                <w:highlight w:val="lightGray"/>
              </w:rPr>
              <w:t>es permanente</w:t>
            </w:r>
            <w:r w:rsidRPr="005B30EE">
              <w:rPr>
                <w:b w:val="0"/>
                <w:bCs w:val="0"/>
                <w:highlight w:val="lightGray"/>
              </w:rPr>
              <w:t xml:space="preserve"> y no sustituye la del propietario del caso de uso, a quien la Comisión</w:t>
            </w:r>
            <w:r w:rsidRPr="005B30EE">
              <w:rPr>
                <w:b w:val="0"/>
                <w:bCs w:val="0"/>
                <w:highlight w:val="lightGray"/>
              </w:rPr>
              <w:t xml:space="preserve"> </w:t>
            </w:r>
            <w:r w:rsidRPr="005B30EE">
              <w:rPr>
                <w:b w:val="0"/>
                <w:bCs w:val="0"/>
                <w:highlight w:val="lightGray"/>
              </w:rPr>
              <w:t>convoca cuando se evalúa un caso de uso de su proceso, conforme al numeral   5.3.2.</w:t>
            </w:r>
            <w:r w:rsidRPr="005B30EE">
              <w:rPr>
                <w:b w:val="0"/>
                <w:bCs w:val="0"/>
                <w:highlight w:val="lightGray"/>
              </w:rPr>
              <w:t xml:space="preserve"> </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6907B226"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6.1.1.Por comprender actuaciones a cargo de unidades de organización distintas de la INSI, su formulación recoge los aportes de dichas unidades y su aprobación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técnicos de diseño de la arquitectura de los SBIA, el contenido de los entregables de cada etapa, los tipos y las técnicas de prueba aplicables según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el nivel de riesgo, los controles de contención, las prácticas de monitoreo y las condiciones de retiro. En tanto no se apruebe, los SBIA siguen el ciclo de</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vida del numeral 6.1.1 y la normativa de desarrollo de sistemas vigente en la SUNAT</w:t>
      </w:r>
      <w:r w:rsidR="00166F8B" w:rsidRPr="00166F8B">
        <w:rPr>
          <w:rFonts w:ascii="Arial" w:hAnsi="Arial" w:cs="Arial"/>
          <w:color w:val="000000"/>
          <w:highlight w:val="lightGray"/>
        </w:rPr>
        <w: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w:t>
      </w:r>
      <w:r>
        <w:rPr>
          <w:rFonts w:ascii="Arial" w:eastAsia="Arial" w:hAnsi="Arial" w:cs="Arial"/>
          <w:color w:val="000000"/>
          <w:highlight w:val="yellow"/>
        </w:rPr>
        <w:lastRenderedPageBreak/>
        <w:t xml:space="preserve">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 xml:space="preserve">Cuando la EIA detecte riesgos que afecten los derechos fundamentales o puedan generar decisiones automatizadas erróneas, el propietario del caso de uso y el equipo técnico del SBIA adoptan las medidas necesarias para mitigar </w:t>
      </w:r>
      <w:r>
        <w:rPr>
          <w:rFonts w:ascii="Arial" w:eastAsia="Arial" w:hAnsi="Arial" w:cs="Arial"/>
          <w:color w:val="000000"/>
          <w:highlight w:val="yellow"/>
        </w:rPr>
        <w:lastRenderedPageBreak/>
        <w:t>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w:t>
      </w:r>
      <w:r w:rsidRPr="005C3A70">
        <w:rPr>
          <w:rFonts w:ascii="Arial" w:eastAsia="Arial" w:hAnsi="Arial" w:cs="Arial"/>
          <w:color w:val="000000"/>
          <w:highlight w:val="lightGray"/>
        </w:rPr>
        <w:lastRenderedPageBreak/>
        <w:t xml:space="preserve">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w:t>
      </w:r>
      <w:r>
        <w:rPr>
          <w:rFonts w:ascii="Arial" w:eastAsia="Arial" w:hAnsi="Arial" w:cs="Arial"/>
          <w:color w:val="000000"/>
          <w:highlight w:val="cyan"/>
        </w:rPr>
        <w:lastRenderedPageBreak/>
        <w:t>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lastRenderedPageBreak/>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w:t>
      </w:r>
      <w:r>
        <w:rPr>
          <w:rFonts w:ascii="Arial" w:eastAsia="Arial" w:hAnsi="Arial" w:cs="Arial"/>
          <w:color w:val="000000"/>
          <w:highlight w:val="cyan"/>
        </w:rPr>
        <w:lastRenderedPageBreak/>
        <w:t>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lastRenderedPageBreak/>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w:t>
      </w:r>
      <w:r w:rsidRPr="00833CDE">
        <w:rPr>
          <w:rFonts w:ascii="Arial" w:eastAsia="Arial" w:hAnsi="Arial" w:cs="Arial"/>
          <w:color w:val="000000"/>
          <w:highlight w:val="lightGray"/>
        </w:rPr>
        <w:lastRenderedPageBreak/>
        <w:t>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61BE8FE3"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lastRenderedPageBreak/>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 xml:space="preserve">Emitidos dichos lineamientos </w:t>
      </w:r>
      <w:r>
        <w:rPr>
          <w:b w:val="0"/>
          <w:bCs w:val="0"/>
          <w:highlight w:val="yellow"/>
        </w:rPr>
        <w:lastRenderedPageBreak/>
        <w:t>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1719A" w14:textId="77777777" w:rsidR="00067578" w:rsidRDefault="00067578">
      <w:pPr>
        <w:spacing w:after="0" w:line="240" w:lineRule="auto"/>
      </w:pPr>
      <w:r>
        <w:separator/>
      </w:r>
    </w:p>
  </w:endnote>
  <w:endnote w:type="continuationSeparator" w:id="0">
    <w:p w14:paraId="55AC7A19" w14:textId="77777777" w:rsidR="00067578" w:rsidRDefault="0006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0900A" w14:textId="77777777" w:rsidR="00067578" w:rsidRDefault="00067578">
      <w:pPr>
        <w:spacing w:after="0" w:line="240" w:lineRule="auto"/>
      </w:pPr>
      <w:r>
        <w:separator/>
      </w:r>
    </w:p>
  </w:footnote>
  <w:footnote w:type="continuationSeparator" w:id="0">
    <w:p w14:paraId="747144F8" w14:textId="77777777" w:rsidR="00067578" w:rsidRDefault="00067578">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67578"/>
    <w:rsid w:val="000B6CAE"/>
    <w:rsid w:val="000C43E2"/>
    <w:rsid w:val="000E4C2C"/>
    <w:rsid w:val="000E5B6B"/>
    <w:rsid w:val="000E7544"/>
    <w:rsid w:val="001164EE"/>
    <w:rsid w:val="00141E9A"/>
    <w:rsid w:val="001437F1"/>
    <w:rsid w:val="00153C2B"/>
    <w:rsid w:val="001609F8"/>
    <w:rsid w:val="00164552"/>
    <w:rsid w:val="00166F8B"/>
    <w:rsid w:val="0018147B"/>
    <w:rsid w:val="0018222F"/>
    <w:rsid w:val="001B791A"/>
    <w:rsid w:val="001C5C4D"/>
    <w:rsid w:val="001D0B85"/>
    <w:rsid w:val="001F16B0"/>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B30EE"/>
    <w:rsid w:val="005C3A70"/>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6C344B"/>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4933</TotalTime>
  <Pages>35</Pages>
  <Words>10827</Words>
  <Characters>59553</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134</cp:revision>
  <dcterms:created xsi:type="dcterms:W3CDTF">2026-03-23T21:09:00Z</dcterms:created>
  <dcterms:modified xsi:type="dcterms:W3CDTF">2026-07-29T07:56:00Z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