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646E50B1">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H5D5KwIAAFQEAAAOAAAAZHJzL2Uyb0RvYy54bWysVNuO0zAQfUfiHyy/0ySlTUvUdLXqUoS0 XMTCBzi2cwHHY2y3yfL1jJ22dIEnRB6sGY995syZcTY3Y6/IUVrXgS5pNkspkZqD6HRT0i+f9y/W lDjPtGAKtCzpo3T0Zvv82WYwhZxDC0pISxBEu2IwJW29N0WSON7KnrkZGKkxWIPtmUfXNomwbED0 XiXzNM2TAawwFrh0DnfvpiDdRvy6ltx/qGsnPVElRW4+rjauVViT7YYVjWWm7fiJBvsHFj3rNCa9 QN0xz8jBdn9A9R234KD2Mw59AnXdcRlrwGqy9LdqHlpmZKwFxXHmIpP7f7D8/fHBfLSBujP3wL85 omHXMt3IW2thaCUTmC4LQiWDccXlQnAcXiXV8A4EtpYdPEQNxtr2ARCrI2OU+vEitRw94biZrdb5 Yo0d4RjL05fzZexFworzbWOdfyOhJ8EoqYWDFp+wnzEFO947H/UWRLM+ZBdfKal7hd07MkWyPM9X kTQrTocR+4wZywXViX2nVHRsU+2UJXi1pPv4nS6762NKk6Gk8/VytYw0ngTdNUYav79hxELi2AVt X2sRbc86NdlIU+nAScbxxTrP0ge1w2C7wo/ViLvBrEA8YhMsTKONTxGNFuwPSgYc65K67wdmJSXq rcZGvsoWi/AOorNYrubo2OtIdR1hmiNUST0lk7nz09s5GNs1LWbKog4abrH5dXehOrE6jQyOLlpP 3sa1H0/9+hlsfwIAAP//AwBQSwMEFAAGAAgAAAAhAB7EOUjaAAAABAEAAA8AAABkcnMvZG93bnJl di54bWxMj8FOwzAQRO9I/QdrK3FB1E4QUEKcqlRC4koL4rqJt3HUeB3Fbhv+HsOFXlYazWjmbbma XC9ONIbOs4ZsoUAQN9503Gr42L3eLkGEiGyw90wavinAqppdlVgYf+Z3Om1jK1IJhwI12BiHQsrQ WHIYFn4gTt7ejw5jkmMrzYjnVO56mSv1IB12nBYsDrSx1By2R6dh32Q+f9zcvH3KiFn3pV52tbNa X8+n9TOISFP8D8MvfkKHKjHV/sgmiF5DeiT+3eTly+wORK3h6V6BrEp5CV/9AAAA//8DAFBLAQIt ABQABgAIAAAAIQC2gziS/gAAAOEBAAATAAAAAAAAAAAAAAAAAAAAAABbQ29udGVudF9UeXBlc10u eG1sUEsBAi0AFAAGAAgAAAAhADj9If/WAAAAlAEAAAsAAAAAAAAAAAAAAAAALwEAAF9yZWxzLy5y ZWxzUEsBAi0AFAAGAAgAAAAhAC8fkPkrAgAAVAQAAA4AAAAAAAAAAAAAAAAALgIAAGRycy9lMm9E b2MueG1sUEsBAi0AFAAGAAgAAAAhAB7EOUjaAAAABAEAAA8AAAAAAAAAAAAAAAAAhQQAAGRycy9k b3ducmV2LnhtbFBLBQYAAAAABAAEAPMAAACMBQAAAAA= "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instrText xml:space="preserve"> TOC \o "1-3" \h \z \u </w:instrText>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fldChar w:fldCharType="begin"/>
          <w:instrText xml:space="preserve"> PAGEREF _Toc235003961 \h </w:instrText>
          <w:fldChar w:fldCharType="separate"/>
          <w:t>4</w:t>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fldChar w:fldCharType="begin"/>
          <w:instrText xml:space="preserve"> PAGEREF _Toc235003962 \h </w:instrText>
          <w:fldChar w:fldCharType="separate"/>
          <w:t>4</w:t>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fldChar w:fldCharType="begin"/>
          <w:instrText xml:space="preserve"> PAGEREF _Toc235003963 \h </w:instrText>
          <w:fldChar w:fldCharType="separate"/>
          <w:t>4</w:t>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fldChar w:fldCharType="begin"/>
          <w:instrText xml:space="preserve"> PAGEREF _Toc235003964 \h </w:instrText>
          <w:fldChar w:fldCharType="separate"/>
          <w:t>6</w:t>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fldChar w:fldCharType="begin"/>
          <w:instrText xml:space="preserve"> PAGEREF _Toc235003965 \h </w:instrText>
          <w:fldChar w:fldCharType="separate"/>
          <w:t>7</w:t>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fldChar w:fldCharType="begin"/>
          <w:instrText xml:space="preserve"> PAGEREF _Toc235003966 \h </w:instrText>
          <w:fldChar w:fldCharType="separate"/>
          <w:t>10</w:t>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fldChar w:fldCharType="begin"/>
          <w:instrText xml:space="preserve"> PAGEREF _Toc235003967 \h </w:instrText>
          <w:fldChar w:fldCharType="separate"/>
          <w:t>21</w:t>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fldChar w:fldCharType="begin"/>
          <w:instrText xml:space="preserve"> PAGEREF _Toc235003968 \h </w:instrText>
          <w:fldChar w:fldCharType="separate"/>
          <w:t>22</w:t>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2C35AD0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2F96DBBD" w14:textId="0BC31A90"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14EA456F" w14:textId="25405202"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C35ADE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45AD3BC" w14:textId="5CA90522"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C35AE0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3063971B" w14:textId="4B1233D2"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2C35AE0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153C75B2" w14:textId="12C3066E" w:rsidR="00577C4C" w:rsidRPr="00C733EA" w:rsidRDefault="00577C4C">
      <w:pPr>
        <w:pStyle w:val="Prrafodelista"/>
        <w:numPr>
          <w:ilvl w:val="0"/>
          <w:numId w:val="18"/>
        </w:numPr>
        <w:spacing w:line="276" w:lineRule="auto"/>
        <w:rPr>
          <w:b w:val="0"/>
          <w:bCs w:val="0"/>
          <w:color w:val="000000"/>
        </w:rPr>
      </w:pPr>
      <w:r>
        <w:rPr>
          <w:b w:val="0"/>
          <w:bCs w:val="0"/>
          <w:color w:val="000000"/>
        </w:rPr>
        <w:t xml:space="preserve">MGPP: Modelo de Gobernabilidad de Programas y Proyectos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B82E47C" w14:textId="5338AFD3"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C35AE0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2C35AE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657CB8AD"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F3B42E8" w14:textId="4514BA5F"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2C35AE05" w14:textId="4514BA5F"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2C35AE06" w14:textId="4514BA5F"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028AC543" w:rsidR="0018147B" w:rsidRDefault="00000000">
      <w:pPr>
        <w:spacing w:after="60" w:line="276" w:lineRule="auto"/>
        <w:jc w:val="both"/>
        <w:rPr>
          <w:rFonts w:ascii="Arial" w:hAnsi="Arial" w:cs="Arial"/>
        </w:rPr>
      </w:pPr>
      <w:r>
        <w:rPr>
          <w:rFonts w:ascii="Arial" w:hAnsi="Arial" w:cs="Arial"/>
          <w:highlight w:val="yellow"/>
        </w:rPr>
        <w:t xml:space="preserve">Establecer las disposiciones para el gobierno, la gestión del ciclo de vida y el uso responsable de los Sistemas Basados en Inteligencia Artificial (SBIA) en la SUNAT, precisando los compromisos establecidos en la Política de IA y observando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034E970E" w14:textId="066EDA69" w:rsidR="00D443F8" w:rsidRDefault="00226840" w:rsidP="00226840">
      <w:pPr>
        <w:spacing w:after="60" w:line="276" w:lineRule="auto"/>
        <w:jc w:val="both"/>
        <w:rPr>
          <w:rFonts w:ascii="Arial" w:hAnsi="Arial" w:cs="Arial"/>
        </w:rPr>
      </w:pPr>
      <w:r>
        <w:rPr>
          <w:rFonts w:ascii="Arial" w:hAnsi="Arial" w:cs="Arial"/>
          <w:highlight w:val="green"/>
        </w:rPr>
        <w:t xml:space="preserve">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19022123"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07C052BD"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0D9FD36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 xml:space="preserve">Decreto Supremo N.° 029-2021-PCM (18/02/2021), que aprueba el Reglamento del Decreto Legislativo N.° 1412, y sus modificatorias aprobadas por Decreto Supremo N.° 075-2023-PCM y Decreto Supremo N.° 098-2025-PCM (31/07/2025).</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433D518E"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741A25AD" w14:textId="66A61B92"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 xml:space="preserve">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40BF5E87" w14:textId="28E4149D"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CFF0631" w14:textId="5061B72D"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 xml:space="preserve">Resolución de Superintendencia N.° 050-2019/SUNAT (06/03/2019), que aprueba los documentos del Sistema de Gestión de Seguridad de la Información de la SUNAT, </w:t>
        <w:lastRenderedPageBreak/>
        <w:t>entre ellos el Manual de Políticas del Sistema de Gestión de Seguridad de la Información (SGSI-MA-03).</w:t>
      </w:r>
    </w:p>
    <w:p w14:paraId="64BA9802" w14:textId="68AD2ED5"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 xml:space="preserve">Resolución de Oficina N.° 001-2024-SUNAT/1V0000 (16/12/2024), que aprueba la Metodología para la formulación, aprobación y control de los Documentos Normativos Institucionales (METDONI) Versión 1.4.</w:t>
      </w:r>
    </w:p>
    <w:p w14:paraId="4208E65D" w14:textId="23A3D6C9"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t xml:space="preserve">Resolución de Oficina N.° 000002-2023-SUNAT/1V0000 (22/12/2023), que aprueba la Metodología para la Gestión por Procesos (METGEP) Versión 5.0.</w:t>
      </w:r>
    </w:p>
    <w:p w14:paraId="050A6C68" w14:textId="3C66878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3D158E31" w14:textId="52E23D9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2B8C4D28"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xml:space="preserve">: Conjunto de etapas secuenciales e iterativas desde la ideación hasta el retiro de un SBIA. Sus etapas son las previstas en el numeral 6.1.1 de la presente directiva. [ISO/IEC 22989:2022, sección 3.2.1; NTP-ISO/IEC 42001:2025, Anexo A, A.6]</w:t>
      </w:r>
    </w:p>
    <w:p w14:paraId="1B4D1F52"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14F8B932" w14:textId="2D58FC35"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65F8804D"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genera sobre los derechos de los administrados, previo a su desarrollo, adquisición o implementación. </w:t>
      </w:r>
      <w:r>
        <w:rPr>
          <w:b w:val="0"/>
          <w:bCs w:val="0"/>
          <w:color w:val="000000"/>
          <w:highlight w:val="yellow"/>
          <w:lang w:val="en-US"/>
        </w:rPr>
        <w:t xml:space="preserve">[D.S. N.° 115-2025-PCM, Art. 30; NTP-ISO/IEC 42001:2025, Anexo A, A.5.2]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EA5FC0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6B37AA3"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 xml:space="preserve">[D.S. N.° 115-2025-PCM, Art. 7 lit. h); ISO/IEC 22989:2022, sección 3.4.3]</w:t>
      </w:r>
    </w:p>
    <w:p w14:paraId="71C33EFC" w14:textId="484ABFF8"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 xml:space="preserve">[D.S. N.° 115-2025-PCM, Art. 7 lit. h); ISO/IEC 22989:2022, sección 3.4.4]</w:t>
      </w:r>
    </w:p>
    <w:p w14:paraId="6A54410E" w14:textId="5E74AE7B"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 xml:space="preserve">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w:t>
        <w:lastRenderedPageBreak/>
        <w:t>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3C60E648" w14:textId="5CCB40A5"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 xml:space="preserve">[Ley N.° 31814, Art. 2; D.S. N.° 115-2025-PCM, Art. 6 lit. 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2EA5FC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tab/>
        <w:t>De los principios para el Gobierno de IA</w:t>
      </w:r>
    </w:p>
    <w:p w14:paraId="0498D8FC" w14:textId="6A44529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 xml:space="preserve">Política de IA</w:t>
      </w:r>
      <w:r>
        <w:rPr>
          <w:rFonts w:ascii="Arial" w:eastAsia="Arial" w:hAnsi="Arial" w:cs="Arial"/>
          <w:color w:val="000000"/>
        </w:rPr>
        <w:t>, en concordancia con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lastRenderedPageBreak/>
        <w:t>5.2</w:t>
        <w:tab/>
        <w:t>De la función de Gobierno de Inteligencia Artificial</w:t>
      </w:r>
    </w:p>
    <w:p w14:paraId="39EE6BB3" w14:textId="11EDF8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tab/>
        <w:t xml:space="preserve">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0AA671F2" w14:textId="77777777" w:rsidR="00E34945" w:rsidRDefault="00E34945" w:rsidP="00E34945">
      <w:pPr>
        <w:pStyle w:val="SubtituloDONI"/>
        <w:spacing w:line="276" w:lineRule="auto"/>
        <w:ind w:left="851"/>
      </w:pPr>
      <w:r>
        <w:t>5.3</w:t>
        <w:tab/>
        <w:t>De la Comisión de Gobierno de IA</w:t>
      </w:r>
    </w:p>
    <w:p w14:paraId="2E6E0212" w14:textId="1E275FD9"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tab/>
        <w:t xml:space="preserve">Las funciones de la Comisión de Gobierno de IA, en apoyo al CGTD, se definen en el numeral 5.4 y en las disposiciones específicas de la presente directiva.</w:t>
      </w:r>
    </w:p>
    <w:p w14:paraId="6F4FB7E8" w14:textId="77777777" w:rsidR="00863A18" w:rsidRPr="00923C59" w:rsidRDefault="00863A18" w:rsidP="00B23382">
      <w:pPr>
        <w:pStyle w:val="SubtituloDONI"/>
        <w:spacing w:line="276" w:lineRule="auto"/>
        <w:ind w:left="851"/>
      </w:pPr>
      <w:r>
        <w:t>5.4</w:t>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209C0DA"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lastRenderedPageBreak/>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850283"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05EDDB67"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03F7DD40" w14:textId="5DF11CE1"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Aprueba los casos de uso y el Plan de Acción de Inteligencia Artificial, conforme al numeral 7.11.</w:t>
            </w:r>
          </w:p>
          <w:p w14:paraId="7B4BEC41"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38AD5830"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555CCBE5" w14:textId="6707FE22"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 xml:space="preserve">Preparar la propuesta del Plan de Acción de Inteligencia Artificial y sus actualizaciones, conforme al numeral 7.11.</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lastRenderedPageBreak/>
              <w:t>Proponer la clasificación de riesgo de cada SBIA, previo al inicio del desarrollo o adquisición, y elevar al CGTD la relación de las propuestas 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05CF9C21"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05CF9C22"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3D4DE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3111FE5B"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3D4DEA">
            <w:pPr>
              <w:spacing w:after="0" w:line="276" w:lineRule="auto"/>
            </w:pPr>
            <w:r>
              <w:rPr>
                <w:rFonts w:ascii="Arial" w:eastAsia="Arial" w:hAnsi="Arial" w:cs="Arial"/>
                <w:b/>
                <w:bCs/>
                <w:color w:val="000000"/>
              </w:rPr>
              <w:t>Oficial de</w:t>
            </w:r>
          </w:p>
          <w:p w14:paraId="699EF18A"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36F0A719"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Comunica al Centro Nacional de Seguridad Digital (CNSD) los incidentes de seguridad digital que involucren un SBIA y los informa a la máxima autoridad administrativa de la entidad, conforme a la Directiva N.° 001-2023-PCM/SGTD. Informa al CGTD los que resulten críticos. Cuando un SBIA constituya un activo de información de un proceso comprendido en el alcance del SGSI, coordina la aplicación de los controles que correspondan.</w:t>
            </w:r>
          </w:p>
        </w:tc>
      </w:tr>
      <w:tr w:rsidR="00B34A74" w14:paraId="0B3F707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176F1331"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 xml:space="preserve">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04FBB6C1"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w:t>
              <w:lastRenderedPageBreak/>
              <w:t xml:space="preserve">arquitectura de aplicaciones, de información y de infraestructura tecnológica que soporta los SBIA, conforme al literal b) del artículo 106 del ROF. </w:t>
            </w:r>
          </w:p>
          <w:p w14:paraId="481BC02B" w14:textId="5BBFF583"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37D9A84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9DFB0CF"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5094836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78D301"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0B8A380A" w14:textId="0CFAF43F"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5226AE7A"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71793657" w14:textId="5C353D32"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Contribuye a la evaluación del componente de IA con el </w:t>
              <w:lastRenderedPageBreak/>
              <w:t xml:space="preserve">conocimiento operativo de los procesos de dicho ámbito y de su impacto en los administrados. Su participación es permanente y no sustituye la del propietario del caso de uso, a quien la Comisión convoca cuando se evalúa un caso de uso de su proceso.</w:t>
            </w:r>
          </w:p>
        </w:tc>
      </w:tr>
      <w:tr w:rsidR="003D4DEA" w14:paraId="5E0BF254" w14:textId="77777777" w:rsidTr="003D4DEA">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7D591873" w14:textId="23549B12" w:rsidR="003D4DEA" w:rsidRPr="003D4DEA" w:rsidRDefault="003D4DEA" w:rsidP="003D4DEA">
            <w:pPr>
              <w:spacing w:before="20" w:after="20" w:line="276" w:lineRule="auto"/>
              <w:jc w:val="both"/>
              <w:rPr>
                <w:highlight w:val="yellow"/>
              </w:rPr>
            </w:pPr>
            <w:r>
              <w:rPr>
                <w:rFonts w:ascii="Arial" w:eastAsia="Arial" w:hAnsi="Arial" w:cs="Arial"/>
                <w:b/>
                <w:bCs/>
              </w:rPr>
              <w:lastRenderedPageBreak/>
              <w:t>Otras unidades de organización con responsabilidad en el gobierno de IA</w:t>
            </w:r>
          </w:p>
        </w:tc>
      </w:tr>
      <w:tr w:rsidR="00B34A74" w14:paraId="1CD4B12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3D4DEA">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56B2779C"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Conduce el proceso de elaboración de las acciones de sensibilización, concientización y capacitación en IA, diferenciadas por grupos de uso de SBIA, y eleva la propuesta para su aprobación, conforme al literal f) del artículo 197 del ROF.</w:t>
            </w:r>
          </w:p>
          <w:p w14:paraId="17A3763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Promueve la adopción de la inteligencia artificial en el ámbito de las personas, conforme al numeral 6.13.3.</w:t>
            </w:r>
          </w:p>
          <w:p w14:paraId="74F9D318"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FCDD395" w:rsidR="00863A18" w:rsidRPr="00923C59" w:rsidRDefault="003D4DEA" w:rsidP="00B23382">
      <w:pPr>
        <w:pStyle w:val="Ttulo1"/>
        <w:spacing w:line="276" w:lineRule="auto"/>
        <w:rPr>
          <w:rFonts w:cs="Arial"/>
          <w:szCs w:val="22"/>
        </w:rPr>
      </w:pPr>
      <w:bookmarkStart w:id="6" w:name="_Toc235003966"/>
      <w:r>
        <w:rPr>
          <w:rFonts w:cs="Arial"/>
          <w:bCs/>
          <w:color w:val="000000"/>
          <w:szCs w:val="22"/>
        </w:rPr>
        <w:br w:type="textWrapping" w:clear="all"/>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tab/>
      </w:r>
      <w:r>
        <w:rPr>
          <w:rFonts w:ascii="Arial" w:eastAsia="Arial" w:hAnsi="Arial" w:cs="Arial"/>
          <w:color w:val="000000"/>
          <w:highlight w:val="green"/>
        </w:rPr>
        <w:t xml:space="preserve">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w:t>
        <w:lastRenderedPageBreak/>
        <w:t xml:space="preserve">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 xml:space="preserve">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Pr>
                <w:rFonts w:ascii="Arial" w:eastAsia="Arial" w:hAnsi="Arial" w:cs="Arial"/>
                <w:highlight w:val="green"/>
              </w:rPr>
              <w:t xml:space="preserve">La Gerencia de Arquitectura conduce el diseño de la arquitectura del SBIA y las Divisiones de Arquitectura lo elaboran, conforme al numeral 6.5.1. Se define el mecanismo de supervisión humana, conforme al numeral 6.6. Para los SBIA de </w:t>
              <w:lastRenderedPageBreak/>
              <w:t>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5B315C61" w:rsidR="00E67A73" w:rsidRDefault="0045319E">
            <w:pPr>
              <w:spacing w:before="20" w:after="20" w:line="276" w:lineRule="auto"/>
              <w:rPr>
                <w:rFonts w:ascii="Arial" w:hAnsi="Arial" w:cs="Arial"/>
              </w:rPr>
            </w:pPr>
            <w:r>
              <w:rPr>
                <w:rFonts w:ascii="Arial" w:eastAsia="Arial" w:hAnsi="Arial" w:cs="Arial"/>
                <w:highlight w:val="green"/>
              </w:rPr>
              <w:lastRenderedPageBreak/>
              <w:t xml:space="preserve">Aprobación del diseño de la arquitectura de solución por la División de Arquitectura competente según la materia, conforme al numeral 6.5.4. Para SBIA de riesgo alto, </w:t>
              <w:lastRenderedPageBreak/>
              <w:t>aprobación de la EIA por el CGTD, previa al inicio del desarrollo, adquisición o implementación.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w:t>
              <w:lastRenderedPageBreak/>
              <w:t>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conforme a los numerales 6.2.5, 6.6.2 y 6.6.4. Asimismo, aprueba el plan de monitoreo del SBIA conforme al numeral 6.10.1. La aprobación requiere la conformidad de la División de Control de Calidad, de la Oficina de Seguridad Informática, del propietario del caso de uso y de la Comisión de Gobierno de IA. La titularidad de la aprobación se determina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 xml:space="preserve">Retiro del SBIA asegurando la preservación de los registros y la continuidad del servicio. Se </w:t>
              <w:lastRenderedPageBreak/>
              <w:t>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lastRenderedPageBreak/>
              <w:t xml:space="preserve">Aprobación conforme al numeral 6.1.2. Actualización del </w:t>
              <w:lastRenderedPageBreak/>
              <w:t>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 xml:space="preserve">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26FCB59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tab/>
      </w:r>
      <w:r>
        <w:rPr>
          <w:rFonts w:ascii="Arial" w:eastAsia="Arial" w:hAnsi="Arial" w:cs="Arial"/>
          <w:color w:val="000000"/>
          <w:highlight w:val="green"/>
        </w:rPr>
        <w:t xml:space="preserve">Los SBIA SaaS (enfoque A) siguen un ciclo de vida abreviado, que comprende cuando menos: el registro en el Inventario Institucional de SBIA, la clasificación de riesgo conforme al numeral 6.2 y las verificaciones previstas en el numeral 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5AADA185" w14:textId="018B1BF0"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tab/>
        <w:t xml:space="preserve">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68622EF3" w14:textId="6B816EC8"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observan lo previsto en los numerales 6.4 y 6.5 de la METDONI. La aprobación corresponde a la INSI conforme al literal j) del artículo 102 del ROF; cuando la Comisión de Gobierno de IA mantenga observaciones no </w:t>
        <w:lastRenderedPageBreak/>
        <w:t xml:space="preserve">acogidas, estas se elevan al CGTD, que se pronuncia con anterioridad a la aprobación. </w:t>
      </w:r>
      <w:r>
        <w:rPr>
          <w:rFonts w:ascii="Arial" w:hAnsi="Arial" w:cs="Arial"/>
          <w:color w:val="000000"/>
          <w:highlight w:val="lightGray"/>
        </w:rPr>
        <w:t xml:space="preserve">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1730EF88" w14:textId="29964B64"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6.1.6  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B64236F" w14:textId="77777777" w:rsidR="00863A18" w:rsidRPr="00923C59" w:rsidRDefault="00863A18" w:rsidP="00B23382">
      <w:pPr>
        <w:pStyle w:val="SubtituloDONI"/>
        <w:spacing w:line="276" w:lineRule="auto"/>
        <w:ind w:left="851"/>
      </w:pPr>
      <w:r>
        <w:t>6.2</w:t>
        <w:tab/>
        <w:t>De la clasificación de los SBIA por nivel de riesgo</w:t>
      </w:r>
    </w:p>
    <w:p w14:paraId="6E565EC7"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F68BDCC" w14:textId="3FFD2A8E"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tab/>
      </w:r>
      <w:r>
        <w:rPr>
          <w:rFonts w:ascii="Arial" w:eastAsia="Arial" w:hAnsi="Arial" w:cs="Arial"/>
          <w:highlight w:val="green"/>
        </w:rPr>
        <w:t xml:space="preserve">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w:t>
        <w:lastRenderedPageBreak/>
        <w:t xml:space="preserve">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tab/>
      </w:r>
      <w:r>
        <w:rPr>
          <w:rFonts w:ascii="Arial" w:eastAsia="Arial" w:hAnsi="Arial" w:cs="Arial"/>
          <w:color w:val="000000"/>
          <w:highlight w:val="green"/>
        </w:rPr>
        <w:t xml:space="preserve">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017012F5"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tab/>
        <w:t xml:space="preserve">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337A84A1" w14:textId="017012A1"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tab/>
        <w:t xml:space="preserve">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1C5BB831" w14:textId="77777777" w:rsidR="00863A18" w:rsidRPr="00923C59" w:rsidRDefault="00863A18" w:rsidP="00B23382">
      <w:pPr>
        <w:pStyle w:val="SubtituloDONI"/>
        <w:spacing w:line="276" w:lineRule="auto"/>
        <w:ind w:left="851"/>
      </w:pPr>
      <w:r>
        <w:t>6.3</w:t>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tab/>
        <w:t>De la evaluación de impacto algorítmico</w:t>
      </w:r>
    </w:p>
    <w:p w14:paraId="1A0CDA46" w14:textId="71D89B4A"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14AA55D"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tab/>
        <w:t xml:space="preserve">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w:t>
        <w:lastRenderedPageBreak/>
        <w:t>revisan. Cuando la materia comprenda el sentido y el alcance de las normas tributarias o aduaneras, la Comisión de Gobierno de IA convoca a la Intendencia Nacional Jurídico Tributaria o a la Intendencia Nacional Jurídico Aduanera. Concluidas las revisiones, la Comisión de Gobierno de IA eleva la EIA al CGTD para su aprobación conforme al numeral 6.4.1.</w:t>
      </w:r>
    </w:p>
    <w:p w14:paraId="30D5631C"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12A62F0C" w14:textId="5BB4595E"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0D44F719"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7407794D" w14:textId="7928FBA5"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tab/>
        <w:t xml:space="preserve">El diseño de la arquitectura de los SBIA observa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agénticos,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 xml:space="preserve">6.5.4   Todo SBIA cuenta con la aprobación del diseño de su arquitectura de solución, previa al inicio del desarrollo, la adquisición o el entrenamiento, conforme a la </w:t>
        <w:lastRenderedPageBreak/>
        <w:t xml:space="preserve">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7887CA88" w14:textId="2A83A4FB"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tab/>
        <w:t xml:space="preserve">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observa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E8CBF01"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w:t>
        <w:tab/>
        <w:t xml:space="preserve">La publicación del código fuente de los SBIA financiados con fondos públicos, con licencia libre o abierta en la Plataforma Nacional de Software Público Peruano (PNSSP), se sujeta a la determinación previa de su publicabilidad. Esta obligación está prevista en el numeral 28.8 del artículo 28 del RLIA. Dicha determinación verifica que el código no revele información sujeta a reserva tributaria conforme al artículo 85 del TUO del Código Tributario. Verifica asimismo que no revele reglas de detección de riesgo cuya divulgación comprometa la función de control.</w:t>
      </w:r>
    </w:p>
    <w:p w14:paraId="7E8CBF0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w:t>
        <w:tab/>
        <w:t xml:space="preserve">La GA conduce la determinación de publicabilidad prevista en el numeral 6.5.7. La efectúa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Cuando la determinación comprenda el sentido y el alcance de las normas tributarias o aduaneras, la GA solicita la opinión de la Intendencia Nacional Jurídico Tributaria o de la Intendencia Nacional Jurídico Aduanera, según la materia. La publicabilidad resulta de dichas opiniones. La determinación y su resultado constan en la Ficha de Registro de SBIA (Anexo N.° 1). Cuando el código no resulte publicable, se consigna igualmente la justificación legal de la restricción. La GDS pone a disposición el código fuente cuya publicación se haya determinado procedente, conforme a los mecanismos que establezca la Plataforma Nacional de Software Público Peruano.</w:t>
      </w:r>
    </w:p>
    <w:p w14:paraId="1268A681" w14:textId="0F8856AB"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6.5.9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53AB1498" w14:textId="77777777" w:rsidR="00863A18" w:rsidRDefault="00863A18" w:rsidP="00B23382">
      <w:pPr>
        <w:pStyle w:val="SubtituloDONI"/>
        <w:spacing w:line="276" w:lineRule="auto"/>
        <w:ind w:left="851"/>
      </w:pPr>
      <w:r>
        <w:t>6.6</w:t>
        <w:tab/>
        <w:t>De la supervisión humana</w:t>
      </w:r>
    </w:p>
    <w:p w14:paraId="6541E5CE" w14:textId="5F64000A"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2C1A00D4"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entre otros, a chatbots de atención, asistentes de orientación y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237AE0C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lastRenderedPageBreak/>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3C0F269D"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76603A3D" w14:textId="0BFD730A"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tab/>
        <w:t xml:space="preserve">Todo SBIA, independientemente de su nivel de riesgo, incorpora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 xml:space="preserve">Política de IA</w:t>
      </w:r>
      <w:r>
        <w:rPr>
          <w:rFonts w:ascii="Arial" w:eastAsia="Arial" w:hAnsi="Arial" w:cs="Arial"/>
          <w:color w:val="000000"/>
          <w:highlight w:val="green"/>
        </w:rPr>
        <w:t>.</w:t>
      </w:r>
      <w:r>
        <w:rPr>
          <w:rFonts w:ascii="Arial" w:eastAsia="Arial" w:hAnsi="Arial" w:cs="Arial"/>
          <w:color w:val="000000"/>
        </w:rPr>
        <w:t xml:space="preserve"> </w:t>
      </w:r>
      <w:r>
        <w:rPr>
          <w:rFonts w:ascii="Arial" w:eastAsia="Arial" w:hAnsi="Arial" w:cs="Arial"/>
          <w:color w:val="000000"/>
          <w:highlight w:val="green"/>
        </w:rPr>
        <w:t>La Comisión de Gobierno de IA verifica la implementación de estas medidas en la etapa 5 del numeral 6.1.1, con anterioridad al despliegue.</w:t>
      </w:r>
    </w:p>
    <w:p w14:paraId="57F9E2B1" w14:textId="77777777" w:rsidR="00863A18" w:rsidRPr="00923C59" w:rsidRDefault="00863A18" w:rsidP="00B23382">
      <w:pPr>
        <w:pStyle w:val="SubtituloDONI"/>
        <w:spacing w:line="276" w:lineRule="auto"/>
        <w:ind w:left="851"/>
      </w:pPr>
      <w:r>
        <w:t>6.7</w:t>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tab/>
        <w:t>Los SBIA cumplen la Política de Seguridad de la Información (SGSI-PO-01) y el Manual de Políticas del Sistema de Gestión de Seguridad de la Información (SGSI-MA-03) de la SUNAT, en sus versiones vigentes. El Manual de Políticas es de aplicación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7E8CBEA9" w14:textId="106B89D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tab/>
        <w:t xml:space="preserve">Para los SBIA de riesgo alto y para los SBIA de riesgo aceptable que interactúen directamente con el administrado, incorporen componentes generativos o procesen datos personales o información sujeta a reserva tributaria, el custodio técnico implementa como mínimo:</w:t>
      </w:r>
    </w:p>
    <w:p w14:paraId="7E8CB041"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contención (guardrails) de entrada y salida.</w:t>
      </w:r>
    </w:p>
    <w:p w14:paraId="7E8CB042"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acceso basados en roles (RBAC).</w:t>
      </w:r>
    </w:p>
    <w:p w14:paraId="7E8CB043"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Registro inmutable de auditoría (logs) de todas las interacciones.</w:t>
      </w:r>
    </w:p>
    <w:p w14:paraId="7E8CB044"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Evaluación de vulnerabilidades conforme al OWASP Top 10 para aplicaciones LLM, en la versión que determine el documento normativo del numeral 6.7.7.</w:t>
      </w:r>
    </w:p>
    <w:p w14:paraId="7E8CB045"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Red teaming de los SBIA de riesgo alto, previo a su despliegue y con la periodicidad que establezca el documento normativo del numeral 6.7.7.</w:t>
      </w:r>
    </w:p>
    <w:p w14:paraId="7E8CB046"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Anonimización o seudonimización de datos personales antes del procesamiento.</w:t>
      </w:r>
    </w:p>
    <w:p w14:paraId="7E8CB047"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Su implementación se verifica en la etapa 5 del numeral 6.1.1, conforme al numeral 6.2.5. Se registra en la Ficha de Registro de SBIA (Anexo N.° 1). Estos controles constituyen medidas de seguridad digital conforme al artículo 29 del RLIA.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2EFB00D1" w14:textId="5ED01BF8"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 xml:space="preserve">La Gerencia de Operaciones y Soporte a Usuarios adecúa el Procedimiento de Gestión de Incidentes (A-03.1.1-PR-002) para comprender los incidentes propios del SBIA y su criterio de cierre, conforme al numeral 7.6 de la presente directiva. En tanto no se apruebe dicha adecuación, estos </w:t>
        <w:lastRenderedPageBreak/>
        <w:t>incidentes se registran por dicho procedimiento y su atención se rige por el presente numeral.</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98BB3C3"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6E9624DC"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6.7.8  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La conservación, el acceso y el uso de dicha información observan la 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36612602" w14:textId="22353745" w:rsidR="00931E16" w:rsidRDefault="00931E16" w:rsidP="00AF13D8">
      <w:pPr>
        <w:pStyle w:val="SubtituloDONI"/>
        <w:spacing w:line="276" w:lineRule="auto"/>
        <w:ind w:left="851"/>
      </w:pPr>
      <w:r>
        <w:t>6.8</w:t>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35456B5D" w14:textId="381E8B3C"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lastRenderedPageBreak/>
        <w:t>6.8.3</w:t>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FB2EA4" w14:textId="149956E8"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6.8.5   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6FEA09F8" w14:textId="58C73FD8"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6.8.6   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tab/>
        <w:t xml:space="preserve">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w:t>
        <w:lastRenderedPageBreak/>
        <w:t>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31AFF679"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71D174A5" w14:textId="028570D3" w:rsidR="00836DA1" w:rsidRPr="00E151B6" w:rsidRDefault="00000000" w:rsidP="005060AB">
      <w:pPr>
        <w:spacing w:after="60" w:line="276" w:lineRule="auto"/>
        <w:ind w:left="1276" w:hanging="709"/>
        <w:jc w:val="both"/>
      </w:pPr>
      <w:r>
        <w:rPr>
          <w:rFonts w:ascii="Arial" w:hAnsi="Arial" w:cs="Arial"/>
          <w:color w:val="000000"/>
          <w:highlight w:val="cyan"/>
        </w:rPr>
        <w:t>6.9.3</w:t>
        <w:tab/>
        <w:t>Los SBIA de riesgo alto cuentan con mecanismos de explicabilidad que permitan comprender los factores que influyeron en un resultado. Cuando un SBIA intervenga en decisiones que impacten en derechos humanos, las personas afectadas tienen derecho a recibir la explicación de los resultados, conforme al numeral 25.3 del artículo 25 del RLIA. La explicación se proporciona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sobre confidencialidad de la información aduanera.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6.9.5    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la actividad de la Comisión de Gobierno de IA y no constituye avance del Plan de Gobierno Digital.</w:t>
      </w:r>
    </w:p>
    <w:p w14:paraId="3C9C3B6B" w14:textId="4657A750"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tab/>
        <w:t xml:space="preserve">El estado del gobierno de IA institucional se informa como sección del informe de seguimiento del Plan de Gobierno Digital que presenta el CGTD, con la </w:t>
        <w:lastRenderedPageBreak/>
        <w:t>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tab/>
        <w:t>Del monitoreo, auditoría y mejora continua</w:t>
      </w:r>
    </w:p>
    <w:p w14:paraId="41D4B896" w14:textId="6637DD12"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tab/>
        <w:t xml:space="preserve">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50494295"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tab/>
        <w:t xml:space="preserve">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Los umbrales de cada indicador, las alertas que su superación activa y las acciones de tratamiento correspondientes se definen con anterioridad a la puesta en producción del SBIA, conforme a la metodología prevista en el numeral 6.1.5.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lastRenderedPageBreak/>
        <w:t>6.10.3</w:t>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conforme al numeral 6.10.5 y lo comunica a la Comisión de Gobierno de IA. La Comisión valida dicha calificación.</w:t>
      </w:r>
    </w:p>
    <w:p w14:paraId="0FD1A58F" w14:textId="702BE45E"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 xml:space="preserve">5 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673502CA" w:rsidR="00975D3B" w:rsidRDefault="00975D3B" w:rsidP="00532CB5">
      <w:pPr>
        <w:spacing w:after="0" w:line="276" w:lineRule="auto"/>
        <w:ind w:left="1276" w:hanging="709"/>
        <w:jc w:val="both"/>
        <w:rPr>
          <w:rFonts w:ascii="Arial" w:hAnsi="Arial" w:cs="Arial"/>
        </w:rPr>
      </w:pPr>
      <w:r>
        <w:rPr>
          <w:rFonts w:ascii="Arial" w:hAnsi="Arial" w:cs="Arial"/>
          <w:highlight w:val="green"/>
        </w:rPr>
        <w:t xml:space="preserve">6.10.6 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w:t>
        <w:lastRenderedPageBreak/>
        <w:t xml:space="preserve">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0EEEF7F1" w14:textId="77777777" w:rsidR="00D02E5D" w:rsidRDefault="00D02E5D"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 xml:space="preserve">Del uso responsable y ético, de las capacidades y proveedores</w:t>
      </w:r>
    </w:p>
    <w:p w14:paraId="7E6D459C" w14:textId="77777777" w:rsidR="00863A18" w:rsidRPr="00923C59" w:rsidRDefault="00863A18" w:rsidP="00B23382">
      <w:pPr>
        <w:pStyle w:val="SubtituloDONI"/>
        <w:spacing w:line="276" w:lineRule="auto"/>
        <w:ind w:left="851"/>
      </w:pPr>
      <w:r>
        <w:t>6.11</w:t>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tab/>
        <w:t>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3C290EE9"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 xml:space="preserve">El despliegue de estos </w:t>
        <w:lastRenderedPageBreak/>
        <w:t>modelos observa, en lo que corresponda, el Procedimiento para el Registro, Control y Retiro de Software de la SUNAT (A-03.3.2-PR-01).</w:t>
      </w:r>
    </w:p>
    <w:p w14:paraId="7106A4EF" w14:textId="0149CC0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tab/>
        <w:t xml:space="preserve">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26F26301" w14:textId="57532198"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tab/>
        <w:t xml:space="preserve">La GA aprueba las herramientas de IA que pueden emplearse en la SUNAT, conforme a sus funciones (artículo 130, literal c, del ROF), y las registra en el 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 xml:space="preserve">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tab/>
        <w:t>De la gestión de proveedores de IA</w:t>
      </w:r>
    </w:p>
    <w:p w14:paraId="4087DF53" w14:textId="6E4BF19C"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49A67712" w14:textId="01D590D3"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tab/>
        <w:t xml:space="preserve">La unidad de organización que formula los términos de referencia o las especificaciones técnicas incorpora en ellos las cláusulas que el contrato debe </w:t>
        <w:lastRenderedPageBreak/>
        <w:t xml:space="preserve">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0C47E374" w14:textId="3352CADB"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3CED9203" w14:textId="1D2ED1E6"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tab/>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010751C3" w14:textId="6D6A6F40"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10D8630F" w14:textId="5E280ED4" w:rsidR="00863A18" w:rsidRPr="00641EAF" w:rsidRDefault="00863A18" w:rsidP="00B23382">
      <w:pPr>
        <w:pStyle w:val="SubtituloDONI"/>
        <w:spacing w:line="276" w:lineRule="auto"/>
        <w:ind w:left="851"/>
        <w:rPr>
          <w:highlight w:val="green"/>
        </w:rPr>
      </w:pPr>
      <w:r>
        <w:rPr>
          <w:highlight w:val="green"/>
        </w:rPr>
        <w:t>6.13</w:t>
        <w:tab/>
        <w:t>De la sensibilización, la capacitación y la gestión del cambio</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 Sensibilización</w:t>
      </w:r>
    </w:p>
    <w:p w14:paraId="493B9300" w14:textId="0F4E7D1E"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 xml:space="preserve">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3767110" w14:textId="2168B6DA"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31E5E6A5" w14:textId="4444DFFE"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 xml:space="preserve">La finalidad y los principios institucionales aplicables a los SBIA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lastRenderedPageBreak/>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24701C8F" w14:textId="2639B34D"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 xml:space="preserve">El impacto social y ambiental de los SBIA.</w:t>
      </w:r>
    </w:p>
    <w:p w14:paraId="7C045AC2" w14:textId="6A9D42B1"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 xml:space="preserve">Esta disposición desarrolla el principio rector de sensibilización y educación en IA establecido en el literal f) del artículo 7 del RLIA,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 Capacitación y fortalecimiento de capacidades</w:t>
      </w:r>
    </w:p>
    <w:p w14:paraId="56A6AAD2" w14:textId="212748F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 La Intendencia Nacional de Recursos Humanos las incorpora en dicho instrumento a propuesta de la Comisión de Gobierno de IA. En tanto no se incorporen, las acciones formativas en materia de IA se ejecutan conforme al presente numeral.</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4DC2972A" w14:textId="18A76C3B"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 xml:space="preserve">Los fundamentos y el ciclo de vida de los SBIA.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6B9B86CB" w14:textId="1D765222"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Esta disposición se implementa conforme al numeral 28.5 del artículo 28 del RLIA y en concordancia con el numeral 7.2 y el Anexo A.4 de la NTP</w:t>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67606C62"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69C7D64F" w14:textId="77777777" w:rsidR="000153F0" w:rsidRDefault="00000000">
      <w:pPr>
        <w:pStyle w:val="SubtituloDONI"/>
        <w:spacing w:line="276" w:lineRule="auto"/>
        <w:ind w:left="851"/>
      </w:pPr>
      <w:r>
        <w:rPr>
          <w:highlight w:val="yellow"/>
        </w:rPr>
        <w:t>6.14</w:t>
        <w:tab/>
        <w:t>De la ética y la integridad en los SBIA</w:t>
      </w:r>
    </w:p>
    <w:p w14:paraId="3275817F" w14:textId="3A774E9A"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6.14.1</w:t>
        <w:tab/>
        <w:t xml:space="preserve">En el desarrollo, la implementación y el uso de los SBIA, la SUNAT observa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60F5B515" w14:textId="4A2084F4"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 xml:space="preserve">Esta disposición desarrolla el numeral 28.9 del artículo 28 del RLIA.</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337C923B"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6.15.1 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w:t>
        <w:lastRenderedPageBreak/>
        <w:t xml:space="preserve">prioridad ni la viabilidad presupuestal de la iniciativa, que corresponden a los instrumentos de gestión respectivos y a las instancias competentes. 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51F21954" w14:textId="210C5702"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Favorable con condiciones, que identifica los controles que corresponden conforme al numeral 6.2.5 y cuya implementación se verifica en la etapa 5 del numeral 6.1.1. Los SBIA clasificados de riesgo alto reciben este pronunciamiento.</w:t>
      </w:r>
    </w:p>
    <w:p w14:paraId="771DA7B9" w14:textId="3C9387F3"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0D3CACE0" w14:textId="06CF0C51"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 xml:space="preserve">6.15.2 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6.15.3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6.15.4 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6.15.5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6F88953C" w:rsidR="00670027" w:rsidRDefault="00326739" w:rsidP="00EF2B54">
      <w:pPr>
        <w:spacing w:after="60" w:line="276" w:lineRule="auto"/>
        <w:ind w:left="1276" w:hanging="709"/>
        <w:jc w:val="both"/>
        <w:rPr>
          <w:rFonts w:ascii="Arial" w:hAnsi="Arial" w:cs="Arial"/>
        </w:rPr>
      </w:pPr>
      <w:r>
        <w:rPr>
          <w:rFonts w:ascii="Arial" w:hAnsi="Arial" w:cs="Arial"/>
          <w:highlight w:val="green"/>
        </w:rPr>
        <w:t xml:space="preserve">6.15.6 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y a la gestión de la demanda informática. La presente directiva no 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6.15.7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lastRenderedPageBreak/>
        <w:tab/>
      </w:r>
      <w:r>
        <w:rPr>
          <w:rFonts w:ascii="Arial" w:hAnsi="Arial" w:cs="Arial"/>
          <w:highlight w:val="green"/>
        </w:rPr>
        <w:t>6.15.8 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6.15.9 Cuando se requiera sustentar la opinión de la Comisión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6.15.10 La unidad de organización competente del MGPP incorpora en dicho instrumento el momento y la instancia ante la que se recaba la opinión, conforme al numeral 7.6.</w:t>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tab/>
        <w:t>La actualización de la presente directiva es propuesta por la Comisión de Gobierno de IA, conforme a la METDONI.</w:t>
      </w:r>
    </w:p>
    <w:p w14:paraId="0C4EDACE" w14:textId="3CF688B6" w:rsidR="0018147B" w:rsidRDefault="00000000" w:rsidP="00CB040E">
      <w:pPr>
        <w:pStyle w:val="SubtituloDONI"/>
        <w:spacing w:before="0" w:after="0" w:line="276" w:lineRule="auto"/>
        <w:ind w:left="851"/>
        <w:rPr>
          <w:b w:val="0"/>
          <w:bCs w:val="0"/>
        </w:rPr>
      </w:pPr>
      <w:r>
        <w:rPr>
          <w:b w:val="0"/>
          <w:bCs w:val="0"/>
          <w:highlight w:val="yellow"/>
        </w:rPr>
        <w:t>7.3</w:t>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482CBA45" w14:textId="0E4C9FB1" w:rsidR="00CB040E" w:rsidRPr="0094125C" w:rsidRDefault="00CB040E" w:rsidP="00180A95">
      <w:pPr>
        <w:pStyle w:val="SubtituloDONI"/>
        <w:spacing w:line="276" w:lineRule="auto"/>
        <w:ind w:left="851"/>
        <w:rPr>
          <w:b w:val="0"/>
          <w:bCs w:val="0"/>
          <w:highlight w:val="green"/>
        </w:rPr>
      </w:pPr>
      <w:r>
        <w:rPr>
          <w:b w:val="0"/>
          <w:bCs w:val="0"/>
          <w:highlight w:val="green"/>
        </w:rPr>
        <w:t>7.4</w:t>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p>
    <w:p w14:paraId="76F2D410" w14:textId="77777777" w:rsidR="00ED2DC8" w:rsidRPr="00923C59" w:rsidRDefault="00ED2DC8" w:rsidP="00B23382">
      <w:pPr>
        <w:pStyle w:val="SubtituloDONI"/>
        <w:spacing w:line="276" w:lineRule="auto"/>
        <w:ind w:left="851"/>
        <w:rPr>
          <w:b w:val="0"/>
          <w:bCs w:val="0"/>
        </w:rPr>
      </w:pPr>
      <w:r>
        <w:rPr>
          <w:b w:val="0"/>
          <w:bCs w:val="0"/>
        </w:rPr>
        <w:t>7.5</w:t>
        <w:tab/>
        <w:t xml:space="preserve">La Comisión de Gobierno de IA, con el apoyo técnico de la INSI, implementa el Inventario Institucional de SBIA. </w:t>
      </w:r>
    </w:p>
    <w:p w14:paraId="5CBE5256" w14:textId="38F22730" w:rsidR="00836DA1" w:rsidRDefault="00000000">
      <w:pPr>
        <w:pStyle w:val="SubtituloDONI"/>
        <w:spacing w:line="276" w:lineRule="auto"/>
        <w:ind w:left="851"/>
        <w:rPr>
          <w:b w:val="0"/>
          <w:bCs w:val="0"/>
        </w:rPr>
      </w:pPr>
      <w:r>
        <w:rPr>
          <w:b w:val="0"/>
          <w:bCs w:val="0"/>
          <w:color w:val="000000"/>
          <w:highlight w:val="green"/>
        </w:rPr>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48BCADDA" w:rsidR="0018147B" w:rsidRDefault="00000000">
      <w:pPr>
        <w:pStyle w:val="SubtituloDONI"/>
        <w:spacing w:line="276" w:lineRule="auto"/>
        <w:ind w:left="851"/>
        <w:rPr>
          <w:b w:val="0"/>
          <w:bCs w:val="0"/>
        </w:rPr>
      </w:pPr>
      <w:r>
        <w:rPr>
          <w:b w:val="0"/>
          <w:bCs w:val="0"/>
        </w:rPr>
        <w:t>7.8</w:t>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5617D77E" w14:textId="668AAD48" w:rsidR="0018147B" w:rsidRDefault="00000000" w:rsidP="00174519">
      <w:pPr>
        <w:pStyle w:val="SubtituloDONI"/>
        <w:spacing w:line="276" w:lineRule="auto"/>
        <w:ind w:left="851"/>
        <w:rPr>
          <w:b w:val="0"/>
          <w:bCs w:val="0"/>
        </w:rPr>
      </w:pPr>
      <w:r>
        <w:rPr>
          <w:b w:val="0"/>
          <w:bCs w:val="0"/>
          <w:highlight w:val="green"/>
        </w:rPr>
        <w:t>7.9</w:t>
        <w:tab/>
        <w:t xml:space="preserve">El detalle de aplicación de los Anexos (los formatos, los criterios de registro, los catálogos de valores y los indicadores operativos, así como los campos adicionales que resulten necesarios) se establece en los documentos normativos institucionales </w:t>
        <w:lastRenderedPageBreak/>
        <w:t>de menor rango previstos en el numeral 7.6, que las unidades competentes actualizan sin requerir la modificación de la presente directiva. Dichos documentos no suprimen ni reducen los campos ni los contenidos mínimos que los Anexos establecen.</w:t>
      </w:r>
    </w:p>
    <w:p w14:paraId="6BB2EF90" w14:textId="0AE33180" w:rsidR="00E67A73" w:rsidRDefault="00000000">
      <w:pPr>
        <w:pStyle w:val="SubtituloDONI"/>
        <w:spacing w:line="276" w:lineRule="auto"/>
        <w:ind w:left="851"/>
        <w:rPr>
          <w:b w:val="0"/>
          <w:bCs w:val="0"/>
        </w:rPr>
      </w:pPr>
      <w:r>
        <w:rPr>
          <w:b w:val="0"/>
          <w:bCs w:val="0"/>
          <w:highlight w:val="yellow"/>
        </w:rPr>
        <w:t>7.10</w:t>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Pr>
          <w:b w:val="0"/>
          <w:bCs w:val="0"/>
          <w:highlight w:val="green"/>
        </w:rPr>
        <w:t>En tanto no se emitan dichos lineamientos y no se designe al OIA, el Coordinador designado conforme al numeral 7.3 ejerce las funciones de coordinación técnica en materia de IA. Designado el OIA, la coordinación de la Comisión de Gobierno de IA recae en él, salvo que los lineamientos de la SGTD dispongan una articulación distinta. La Comisión de Gobierno de IA evalúa su articulación conforme a dichos lineamientos y propone al CGTD los ajustes que correspondan.</w:t>
      </w:r>
    </w:p>
    <w:p w14:paraId="4A9D4BA4" w14:textId="519B53C3" w:rsidR="000153F0" w:rsidRDefault="00000000">
      <w:pPr>
        <w:pStyle w:val="SubtituloDONI"/>
        <w:spacing w:line="276" w:lineRule="auto"/>
        <w:ind w:left="851"/>
        <w:rPr>
          <w:b w:val="0"/>
          <w:bCs w:val="0"/>
        </w:rPr>
      </w:pPr>
      <w:r>
        <w:rPr>
          <w:b w:val="0"/>
          <w:bCs w:val="0"/>
          <w:highlight w:val="yellow"/>
        </w:rPr>
        <w:t>7.11</w:t>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7EBB5326" w14:textId="3A404617" w:rsidR="002555BF" w:rsidRPr="002555BF" w:rsidRDefault="002555BF" w:rsidP="002555BF">
      <w:pPr>
        <w:pStyle w:val="SubtituloDONI"/>
        <w:spacing w:line="276" w:lineRule="auto"/>
        <w:ind w:left="851" w:hanging="709"/>
        <w:rPr>
          <w:b w:val="0"/>
          <w:bCs w:val="0"/>
          <w:highlight w:val="green"/>
        </w:rPr>
      </w:pPr>
      <w:r>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5A18DFFE" w14:textId="5103729B" w:rsidR="00863A18" w:rsidRPr="00923C59" w:rsidRDefault="004F49BB" w:rsidP="0029383A">
      <w:pPr>
        <w:spacing w:line="276" w:lineRule="auto"/>
        <w:rPr>
          <w:rFonts w:ascii="Arial" w:hAnsi="Arial" w:cs="Arial"/>
        </w:rPr>
      </w:pPr>
      <w:r>
        <w:rPr>
          <w:rFonts w:ascii="Arial" w:eastAsia="Arial" w:hAnsi="Arial" w:cs="Arial"/>
          <w:b/>
          <w:bCs/>
          <w:color w:val="000000"/>
        </w:rPr>
        <w:br w:type="page"/>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Pr>
                <w:rFonts w:ascii="Arial" w:eastAsia="Arial" w:hAnsi="Arial" w:cs="Arial"/>
                <w:b/>
                <w:bCs/>
              </w:rPr>
              <w:t xml:space="preserve">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se efectúa en la etapa 5 del numeral 6.1.1, con anterioridad al despliegue.</w:t>
            </w:r>
          </w:p>
        </w:tc>
      </w:tr>
      <w:tr w:rsidR="002B0710" w:rsidRPr="00923C59" w14:paraId="23D13D4B"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9744CC" w14:textId="20BAB29E"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372857" w14:textId="17F26029"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3708B" w14:textId="2EC9491A"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6EA856A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0C8B53" w14:textId="0F0DF14F"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C5FF" w14:textId="273A7516"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D8F1E" w14:textId="77C4A338"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los numerales 6.5.7 y 6.5.8, fecha en que se efectuó y, cuando el código no resulte publicable, la justificación legal de la restricción.</w:t>
            </w:r>
          </w:p>
        </w:tc>
      </w:tr>
      <w:tr w:rsidR="002B0710" w:rsidRPr="00923C59" w14:paraId="3D4C741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7B" w14:textId="73D4C0D2"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14" w14:textId="51C3B168"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4C" w14:textId="6A9151AF"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3D4C74B2" w14:textId="777777B3"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B4" w14:textId="73D4C0B5"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B6" w14:textId="51C3B1B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B8" w14:textId="6A9151B9"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3D4C74C1" w14:textId="777777C2"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C3" w14:textId="73D4C0C4"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C5" w14:textId="51C3B1C6"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C7" w14:textId="6A9151C8"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3D4C74C9" w14:textId="777777CA"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CB" w14:textId="73D4C0CC"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CD" w14:textId="51C3B1CE"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CF" w14:textId="6A9151D0"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3D4C74D1" w14:textId="777777D2"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D3" w14:textId="73D4C0D4"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D5" w14:textId="51C3B1D6"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D7" w14:textId="6A9151D8"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3D4C74D9" w14:textId="777777DA"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DB" w14:textId="73D4C0DC"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DD" w14:textId="51C3B1DE"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DF" w14:textId="6A9151E0"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3C834C6F"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AE976C9" w14:textId="076B5AB3"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A1"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65466B3F" w:rsidR="00863A18" w:rsidRPr="00923C59" w:rsidRDefault="00863A18">
      <w:pPr>
        <w:pStyle w:val="Prrafodelista"/>
        <w:numPr>
          <w:ilvl w:val="0"/>
          <w:numId w:val="7"/>
        </w:numPr>
        <w:spacing w:after="40" w:line="276" w:lineRule="auto"/>
        <w:ind w:left="567"/>
        <w:rPr>
          <w:b w:val="0"/>
          <w:bCs w:val="0"/>
        </w:rPr>
      </w:pPr>
      <w:r>
        <w:rPr>
          <w:b w:val="0"/>
          <w:bCs w:val="0"/>
          <w:color w:val="000000"/>
        </w:rPr>
        <w:t xml:space="preserve">Cumplimiento normativo: Ley IA, RLIA, protección de datos personales y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015A194B"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443EB5A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771AACE6" w14:textId="177813A3"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5567F002"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2 — Necesidad y pertinencia del uso de IA:</w:t>
      </w:r>
    </w:p>
    <w:p w14:paraId="2ABECD53"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17E05AAF" w14:textId="016F6D3F"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 xml:space="preserve">Alternativa sin inteligencia artificial: describir la solución basada en reglas, 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 xml:space="preserve">Costo de gobernanza previsto (monitoreo, reentrenamiento, supervisión humana y evaluación periódica)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 xml:space="preserve">Sección 3 — 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Punto del proceso en que interviene el SBIA y momento en que un funcionario conoce su resultado.</w:t>
      </w:r>
    </w:p>
    <w:p w14:paraId="77DBA450" w14:textId="31B8CBF9"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t xml:space="preserve">Sección 4 — Datos:</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lastRenderedPageBreak/>
        <w:t xml:space="preserve">Datos requeridos: fuentes, tipos y presencia de datos personales, de datos sensibles, de datos biométricos o de información sujeta 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5 — Efecto sobre las personas y los procesos:</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Efecto del resultado del SBIA en derechos, obligaciones o en la atención de los 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Clasificación de riesgo preliminar sugerida por el propietario del caso de uso conforme al 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6 — Firmas:</w:t>
      </w:r>
    </w:p>
    <w:p w14:paraId="7ABB4F11"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576F94A7" w14:textId="572C4FB4"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4B1C8D62" w14:textId="21CE2D88"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4BBB6" w14:textId="77777777" w:rsidR="003320CB" w:rsidRDefault="003320CB">
      <w:pPr>
        <w:spacing w:after="0" w:line="240" w:lineRule="auto"/>
      </w:pPr>
      <w:r>
        <w:separator/>
      </w:r>
    </w:p>
  </w:endnote>
  <w:endnote w:type="continuationSeparator" w:id="0">
    <w:p w14:paraId="1F9ABFD8" w14:textId="77777777" w:rsidR="003320CB" w:rsidRDefault="003320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4F47C" w14:textId="77777777" w:rsidR="003320CB" w:rsidRDefault="003320CB">
      <w:pPr>
        <w:spacing w:after="0" w:line="240" w:lineRule="auto"/>
      </w:pPr>
      <w:r>
        <w:separator/>
      </w:r>
    </w:p>
  </w:footnote>
  <w:footnote w:type="continuationSeparator" w:id="0">
    <w:p w14:paraId="47061894" w14:textId="77777777" w:rsidR="003320CB" w:rsidRDefault="003320CB">
      <w:pPr>
        <w:spacing w:after="0" w:line="240" w:lineRule="auto"/>
      </w:pPr>
      <w:r>
        <w:continuationSeparator/>
      </w:r>
    </w:p>
  </w:footnote>
  <w:footnote w:id="1">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1298561635">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1298561635">
    <w:abstractNumId w:val="8"/>
  </w:num>
  <w:num w:numId="36" w16cid:durableId="955452418">
    <w:abstractNumId w:val="30"/>
  </w:num>
  <w:num w:numId="37" w16cid:durableId="856163588">
    <w:abstractNumId w:val="6"/>
  </w:num>
  <w:num w:numId="38" w16cid:durableId="1298561635">
    <w:abstractNumId w:val="18"/>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isplayBackgroundShape/>
  <w:activeWritingStyle w:appName="MSWord" w:lang="es-PE" w:vendorID="64" w:dllVersion="0" w:nlCheck="1" w:checkStyle="0"/>
  <w:activeWritingStyle w:appName="MSWord" w:lang="en-US" w:vendorID="64" w:dllVersion="0" w:nlCheck="1" w:checkStyle="0"/>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206379"/>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7233"/>
    <w:rsid w:val="00567C78"/>
    <w:rsid w:val="00570612"/>
    <w:rsid w:val="00577C4C"/>
    <w:rsid w:val="00590BAB"/>
    <w:rsid w:val="00594919"/>
    <w:rsid w:val="005B30EE"/>
    <w:rsid w:val="005B3F5B"/>
    <w:rsid w:val="005C21BA"/>
    <w:rsid w:val="005C3A70"/>
    <w:rsid w:val="005C4042"/>
    <w:rsid w:val="005C67EA"/>
    <w:rsid w:val="005D216F"/>
    <w:rsid w:val="005D5880"/>
    <w:rsid w:val="005D754C"/>
    <w:rsid w:val="005F24C2"/>
    <w:rsid w:val="005F3265"/>
    <w:rsid w:val="0060099A"/>
    <w:rsid w:val="00603B7D"/>
    <w:rsid w:val="00617198"/>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10571</TotalTime>
  <Pages>47</Pages>
  <Words>16529</Words>
  <Characters>90912</Characters>
  <Application>Microsoft Office Word</Application>
  <DocSecurity>0</DocSecurity>
  <Lines>757</Lines>
  <Paragraphs>214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246</cp:revision>
  <dcterms:created xsi:type="dcterms:W3CDTF">2026-03-23T21:09:00Z</dcterms:created>
  <dcterms:modified xsi:type="dcterms:W3CDTF">2026-08-28T16:26:00Z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