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7A15F" w14:textId="77777777" w:rsidR="0060099A" w:rsidRPr="00863A18" w:rsidRDefault="0060099A" w:rsidP="00ED2DC8">
      <w:pPr>
        <w:spacing w:after="0" w:line="240" w:lineRule="auto"/>
        <w:jc w:val="center"/>
        <w:rPr>
          <w:rFonts w:ascii="Arial" w:hAnsi="Arial" w:cs="Arial"/>
        </w:rPr>
      </w:pPr>
      <w:bookmarkStart w:id="0" w:name="_Hlk8641159"/>
    </w:p>
    <w:bookmarkEnd w:id="0"/>
    <w:p w14:paraId="55768ACF" w14:textId="77777777" w:rsidR="0060099A" w:rsidRPr="00863A18" w:rsidRDefault="0060099A" w:rsidP="00ED2DC8">
      <w:pPr>
        <w:spacing w:after="0" w:line="240" w:lineRule="auto"/>
        <w:jc w:val="center"/>
        <w:rPr>
          <w:rFonts w:ascii="Arial" w:hAnsi="Arial" w:cs="Arial"/>
        </w:rPr>
      </w:pPr>
    </w:p>
    <w:p w14:paraId="3FB8041C" w14:textId="77777777" w:rsidR="0060099A" w:rsidRPr="00863A18" w:rsidRDefault="0060099A" w:rsidP="00ED2DC8">
      <w:pPr>
        <w:spacing w:after="0" w:line="240" w:lineRule="auto"/>
        <w:jc w:val="center"/>
        <w:rPr>
          <w:rFonts w:ascii="Arial" w:hAnsi="Arial" w:cs="Arial"/>
        </w:rPr>
      </w:pPr>
    </w:p>
    <w:p w14:paraId="11828901" w14:textId="77777777" w:rsidR="0060099A" w:rsidRPr="00863A18" w:rsidRDefault="0060099A" w:rsidP="00ED2DC8">
      <w:pPr>
        <w:spacing w:after="0" w:line="240" w:lineRule="auto"/>
        <w:jc w:val="center"/>
        <w:rPr>
          <w:rFonts w:ascii="Arial" w:hAnsi="Arial" w:cs="Arial"/>
        </w:rPr>
      </w:pPr>
    </w:p>
    <w:p w14:paraId="57CEB53E" w14:textId="77777777" w:rsidR="0060099A" w:rsidRPr="00863A18" w:rsidRDefault="0060099A" w:rsidP="00ED2DC8">
      <w:pPr>
        <w:spacing w:after="0" w:line="240" w:lineRule="auto"/>
        <w:jc w:val="center"/>
        <w:rPr>
          <w:rFonts w:ascii="Arial" w:hAnsi="Arial" w:cs="Arial"/>
        </w:rPr>
      </w:pPr>
    </w:p>
    <w:p w14:paraId="300BE91C"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3AC8DC74" wp14:editId="46BE3372">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53FAABFD" w14:textId="77777777" w:rsidR="0060099A" w:rsidRPr="00863A18" w:rsidRDefault="0060099A" w:rsidP="00ED2DC8">
      <w:pPr>
        <w:spacing w:after="0" w:line="240" w:lineRule="auto"/>
        <w:jc w:val="center"/>
        <w:rPr>
          <w:rFonts w:ascii="Arial" w:hAnsi="Arial" w:cs="Arial"/>
          <w:b/>
          <w:bCs/>
        </w:rPr>
      </w:pPr>
    </w:p>
    <w:p w14:paraId="52A4FA6D" w14:textId="77777777" w:rsidR="0060099A" w:rsidRPr="00863A18" w:rsidRDefault="0060099A" w:rsidP="00ED2DC8">
      <w:pPr>
        <w:spacing w:after="0" w:line="240" w:lineRule="auto"/>
        <w:jc w:val="center"/>
        <w:rPr>
          <w:rFonts w:ascii="Arial" w:hAnsi="Arial" w:cs="Arial"/>
          <w:b/>
          <w:bCs/>
        </w:rPr>
      </w:pPr>
    </w:p>
    <w:p w14:paraId="1E28088F" w14:textId="77777777" w:rsidR="00521B40" w:rsidRPr="00863A18" w:rsidRDefault="00521B40" w:rsidP="00ED2DC8">
      <w:pPr>
        <w:spacing w:after="0" w:line="240" w:lineRule="auto"/>
        <w:jc w:val="right"/>
        <w:rPr>
          <w:rFonts w:ascii="Arial" w:hAnsi="Arial" w:cs="Arial"/>
          <w:b/>
          <w:bCs/>
          <w:sz w:val="56"/>
          <w:szCs w:val="56"/>
        </w:rPr>
      </w:pPr>
    </w:p>
    <w:p w14:paraId="00DD0B14" w14:textId="77777777" w:rsidR="00521B40" w:rsidRPr="00863A18" w:rsidRDefault="00521B40" w:rsidP="00ED2DC8">
      <w:pPr>
        <w:spacing w:after="0" w:line="240" w:lineRule="auto"/>
        <w:jc w:val="right"/>
        <w:rPr>
          <w:rFonts w:ascii="Arial" w:hAnsi="Arial" w:cs="Arial"/>
          <w:b/>
          <w:bCs/>
          <w:sz w:val="56"/>
          <w:szCs w:val="56"/>
        </w:rPr>
      </w:pPr>
    </w:p>
    <w:p w14:paraId="3AFEA96D" w14:textId="77777777" w:rsidR="00521B40" w:rsidRPr="00863A18" w:rsidRDefault="00521B40" w:rsidP="00ED2DC8">
      <w:pPr>
        <w:spacing w:after="0" w:line="240" w:lineRule="auto"/>
        <w:jc w:val="right"/>
        <w:rPr>
          <w:rFonts w:ascii="Arial" w:hAnsi="Arial" w:cs="Arial"/>
          <w:b/>
          <w:bCs/>
          <w:sz w:val="56"/>
          <w:szCs w:val="56"/>
        </w:rPr>
      </w:pPr>
    </w:p>
    <w:p w14:paraId="56B6860D"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334182A8" w14:textId="77777777" w:rsidR="0060099A" w:rsidRPr="00863A18" w:rsidRDefault="0060099A" w:rsidP="00ED2DC8">
      <w:pPr>
        <w:pStyle w:val="Versin"/>
        <w:jc w:val="right"/>
        <w:rPr>
          <w:rFonts w:ascii="Arial" w:hAnsi="Arial" w:cs="Arial"/>
        </w:rPr>
      </w:pPr>
      <w:r>
        <w:rPr>
          <w:rFonts w:ascii="Arial" w:hAnsi="Arial" w:cs="Arial"/>
        </w:rPr>
        <w:t>Versión 1.0</w:t>
      </w:r>
    </w:p>
    <w:p w14:paraId="733E2A04" w14:textId="77777777" w:rsidR="0060099A" w:rsidRPr="00863A18" w:rsidRDefault="0060099A" w:rsidP="00ED2DC8">
      <w:pPr>
        <w:spacing w:after="0" w:line="240" w:lineRule="auto"/>
        <w:jc w:val="right"/>
        <w:rPr>
          <w:rFonts w:ascii="Arial" w:eastAsiaTheme="minorHAnsi" w:hAnsi="Arial" w:cs="Arial"/>
          <w:b/>
          <w:sz w:val="56"/>
          <w:szCs w:val="56"/>
        </w:rPr>
      </w:pPr>
    </w:p>
    <w:p w14:paraId="32DEC421"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09C86612" wp14:editId="68008938">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09C86612"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2716F663" w14:textId="77777777" w:rsidR="0060099A" w:rsidRPr="00863A18" w:rsidRDefault="0060099A" w:rsidP="00ED2DC8">
      <w:pPr>
        <w:spacing w:after="0" w:line="240" w:lineRule="auto"/>
        <w:jc w:val="center"/>
        <w:rPr>
          <w:rFonts w:ascii="Arial" w:eastAsia="Calibri" w:hAnsi="Arial" w:cs="Arial"/>
        </w:rPr>
      </w:pPr>
    </w:p>
    <w:p w14:paraId="36F709FC" w14:textId="77777777" w:rsidR="0060099A" w:rsidRPr="00863A18" w:rsidRDefault="0060099A" w:rsidP="00ED2DC8">
      <w:pPr>
        <w:spacing w:after="0" w:line="240" w:lineRule="auto"/>
        <w:jc w:val="center"/>
        <w:rPr>
          <w:rFonts w:ascii="Arial" w:eastAsia="Calibri" w:hAnsi="Arial" w:cs="Arial"/>
        </w:rPr>
      </w:pPr>
    </w:p>
    <w:p w14:paraId="3E46D01B" w14:textId="77777777" w:rsidR="0060099A" w:rsidRPr="00863A18" w:rsidRDefault="0060099A" w:rsidP="00ED2DC8">
      <w:pPr>
        <w:spacing w:after="0" w:line="240" w:lineRule="auto"/>
        <w:jc w:val="center"/>
        <w:rPr>
          <w:rFonts w:ascii="Arial" w:eastAsia="Calibri" w:hAnsi="Arial" w:cs="Arial"/>
        </w:rPr>
      </w:pPr>
    </w:p>
    <w:p w14:paraId="3DAA6131" w14:textId="77777777" w:rsidR="0060099A" w:rsidRPr="00863A18" w:rsidRDefault="0060099A" w:rsidP="00ED2DC8">
      <w:pPr>
        <w:spacing w:after="0" w:line="240" w:lineRule="auto"/>
        <w:jc w:val="center"/>
        <w:rPr>
          <w:rFonts w:ascii="Arial" w:eastAsia="Calibri" w:hAnsi="Arial" w:cs="Arial"/>
        </w:rPr>
      </w:pPr>
    </w:p>
    <w:p w14:paraId="4C5F7648" w14:textId="77777777" w:rsidR="00521B40" w:rsidRPr="00863A18" w:rsidRDefault="00521B40" w:rsidP="00ED2DC8">
      <w:pPr>
        <w:spacing w:after="0" w:line="240" w:lineRule="auto"/>
        <w:jc w:val="center"/>
        <w:rPr>
          <w:rFonts w:ascii="Arial" w:eastAsia="Calibri" w:hAnsi="Arial" w:cs="Arial"/>
        </w:rPr>
      </w:pPr>
    </w:p>
    <w:p w14:paraId="05498E10" w14:textId="77777777" w:rsidR="00521B40" w:rsidRPr="00863A18" w:rsidRDefault="00521B40" w:rsidP="00ED2DC8">
      <w:pPr>
        <w:spacing w:after="0" w:line="240" w:lineRule="auto"/>
        <w:jc w:val="center"/>
        <w:rPr>
          <w:rFonts w:ascii="Arial" w:eastAsia="Calibri" w:hAnsi="Arial" w:cs="Arial"/>
        </w:rPr>
      </w:pPr>
    </w:p>
    <w:p w14:paraId="71DBB07C" w14:textId="77777777" w:rsidR="004503ED" w:rsidRDefault="004503ED" w:rsidP="00ED2DC8">
      <w:pPr>
        <w:spacing w:after="0" w:line="240" w:lineRule="auto"/>
        <w:jc w:val="center"/>
        <w:rPr>
          <w:rFonts w:ascii="Arial" w:eastAsia="Calibri" w:hAnsi="Arial" w:cs="Arial"/>
        </w:rPr>
      </w:pPr>
    </w:p>
    <w:p w14:paraId="140E797D" w14:textId="77777777" w:rsidR="004503ED" w:rsidRPr="00863A18" w:rsidRDefault="004503ED" w:rsidP="00ED2DC8">
      <w:pPr>
        <w:spacing w:after="0" w:line="240" w:lineRule="auto"/>
        <w:jc w:val="center"/>
        <w:rPr>
          <w:rFonts w:ascii="Arial" w:eastAsia="Calibri" w:hAnsi="Arial" w:cs="Arial"/>
        </w:rPr>
      </w:pPr>
    </w:p>
    <w:p w14:paraId="0A576E61"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57323B08"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3D0F79CC" w14:textId="77777777" w:rsidR="0060099A" w:rsidRPr="00863A18" w:rsidRDefault="0060099A" w:rsidP="00ED2DC8">
      <w:pPr>
        <w:spacing w:after="0" w:line="240" w:lineRule="auto"/>
        <w:jc w:val="center"/>
        <w:rPr>
          <w:rFonts w:ascii="Arial" w:hAnsi="Arial" w:cs="Arial"/>
          <w:b/>
          <w:bCs/>
          <w:sz w:val="32"/>
          <w:szCs w:val="32"/>
        </w:rPr>
      </w:pPr>
    </w:p>
    <w:p w14:paraId="15C0636D"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10B2F7A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3CD4B90F"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7CC4F0A" w14:textId="77777777" w:rsidR="00833450" w:rsidRPr="00863A18" w:rsidRDefault="00833450" w:rsidP="00B23382">
      <w:pPr>
        <w:spacing w:after="0" w:line="240" w:lineRule="auto"/>
        <w:jc w:val="center"/>
        <w:rPr>
          <w:rFonts w:ascii="Arial" w:hAnsi="Arial" w:cs="Arial"/>
        </w:rPr>
      </w:pPr>
    </w:p>
    <w:p w14:paraId="0400FD44" w14:textId="7CD7E8DB"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sidR="007C53D5">
          <w:rPr>
            <w:webHidden/>
          </w:rPr>
          <w:t>5</w:t>
        </w:r>
        <w:r>
          <w:rPr>
            <w:webHidden/>
          </w:rPr>
          <w:fldChar w:fldCharType="end"/>
        </w:r>
      </w:hyperlink>
    </w:p>
    <w:p w14:paraId="3500C9E2" w14:textId="34B45AE8"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sidR="007C53D5">
          <w:rPr>
            <w:webHidden/>
          </w:rPr>
          <w:t>5</w:t>
        </w:r>
        <w:r>
          <w:rPr>
            <w:webHidden/>
          </w:rPr>
          <w:fldChar w:fldCharType="end"/>
        </w:r>
      </w:hyperlink>
    </w:p>
    <w:p w14:paraId="7A4DB512" w14:textId="28CAF3FC"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sidR="007C53D5">
          <w:rPr>
            <w:webHidden/>
          </w:rPr>
          <w:t>5</w:t>
        </w:r>
        <w:r>
          <w:rPr>
            <w:webHidden/>
          </w:rPr>
          <w:fldChar w:fldCharType="end"/>
        </w:r>
      </w:hyperlink>
    </w:p>
    <w:p w14:paraId="122868CE" w14:textId="739A4719"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sidR="007C53D5">
          <w:rPr>
            <w:webHidden/>
          </w:rPr>
          <w:t>8</w:t>
        </w:r>
        <w:r>
          <w:rPr>
            <w:webHidden/>
          </w:rPr>
          <w:fldChar w:fldCharType="end"/>
        </w:r>
      </w:hyperlink>
    </w:p>
    <w:p w14:paraId="334964A7" w14:textId="095DD0D8"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sidR="007C53D5">
          <w:rPr>
            <w:webHidden/>
          </w:rPr>
          <w:t>10</w:t>
        </w:r>
        <w:r>
          <w:rPr>
            <w:webHidden/>
          </w:rPr>
          <w:fldChar w:fldCharType="end"/>
        </w:r>
      </w:hyperlink>
    </w:p>
    <w:p w14:paraId="21A72EE4" w14:textId="77A11A31"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sidR="007C53D5">
          <w:rPr>
            <w:webHidden/>
          </w:rPr>
          <w:t>19</w:t>
        </w:r>
        <w:r>
          <w:rPr>
            <w:webHidden/>
          </w:rPr>
          <w:fldChar w:fldCharType="end"/>
        </w:r>
      </w:hyperlink>
    </w:p>
    <w:p w14:paraId="25BE9A9A" w14:textId="463E3F1D"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sidR="007C53D5">
          <w:rPr>
            <w:webHidden/>
          </w:rPr>
          <w:t>47</w:t>
        </w:r>
        <w:r>
          <w:rPr>
            <w:webHidden/>
          </w:rPr>
          <w:fldChar w:fldCharType="end"/>
        </w:r>
      </w:hyperlink>
    </w:p>
    <w:p w14:paraId="1C3DBB26" w14:textId="232EAEA0"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sidR="007C53D5">
          <w:rPr>
            <w:webHidden/>
          </w:rPr>
          <w:t>49</w:t>
        </w:r>
        <w:r>
          <w:rPr>
            <w:webHidden/>
          </w:rPr>
          <w:fldChar w:fldCharType="end"/>
        </w:r>
      </w:hyperlink>
    </w:p>
    <w:p w14:paraId="074152EF"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70176227"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C1D6F5F"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20467D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4B46D0B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76C1913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7AED90B2" w14:textId="77777777"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06D4FE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3423A05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55CA7B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53E909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E0DD80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64261C66" w14:textId="77777777"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251C5F4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IA: Inteligencia Artificial</w:t>
      </w:r>
    </w:p>
    <w:p w14:paraId="4C80FC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0B6525BC" w14:textId="77777777" w:rsidR="00B10861" w:rsidRDefault="00000000">
      <w:pPr>
        <w:pStyle w:val="Prrafodelista"/>
        <w:numPr>
          <w:ilvl w:val="0"/>
          <w:numId w:val="18"/>
        </w:numPr>
        <w:spacing w:line="276" w:lineRule="auto"/>
        <w:rPr>
          <w:b w:val="0"/>
          <w:bCs w:val="0"/>
          <w:color w:val="000000"/>
        </w:rPr>
      </w:pPr>
      <w:r>
        <w:rPr>
          <w:b w:val="0"/>
          <w:bCs w:val="0"/>
          <w:color w:val="000000"/>
        </w:rPr>
        <w:t>INJA: Intendencia Nacional Jurídico Aduanera</w:t>
      </w:r>
    </w:p>
    <w:p w14:paraId="42654A7B" w14:textId="77777777" w:rsidR="00B10861" w:rsidRDefault="00000000">
      <w:pPr>
        <w:pStyle w:val="Prrafodelista"/>
        <w:numPr>
          <w:ilvl w:val="0"/>
          <w:numId w:val="18"/>
        </w:numPr>
        <w:spacing w:line="276" w:lineRule="auto"/>
        <w:rPr>
          <w:b w:val="0"/>
          <w:bCs w:val="0"/>
          <w:color w:val="000000"/>
        </w:rPr>
      </w:pPr>
      <w:r>
        <w:rPr>
          <w:b w:val="0"/>
          <w:bCs w:val="0"/>
          <w:color w:val="000000"/>
        </w:rPr>
        <w:t>INJT: Intendencia Nacional Jurídico Tributaria</w:t>
      </w:r>
    </w:p>
    <w:p w14:paraId="42E7187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36A2678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0F6A2E7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77843F59"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277F302C" w14:textId="77777777"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5567BEC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 Aprendizaje automático (Machine Learning)</w:t>
      </w:r>
    </w:p>
    <w:p w14:paraId="080DE9DA"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MGPP: Modelo de Gobernabilidad de Programas y Proyectos</w:t>
      </w:r>
    </w:p>
    <w:p w14:paraId="18D10DB7"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2707DDD4" w14:textId="7777777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73D5D84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6DD6A92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5F233DB7"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6603708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2D006C65"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44B1C83" w14:textId="77777777"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50917B72"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7839A48B"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566A6A6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B8189E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PCM: Presidencia del Consejo de Ministros</w:t>
      </w:r>
    </w:p>
    <w:p w14:paraId="43932BA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7FFE27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543FC7B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2DDE084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9F17B1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000C0AA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RS: Resolución de Superintendencia</w:t>
      </w:r>
    </w:p>
    <w:p w14:paraId="6900A43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8A7E69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C46CAFC" w14:textId="77777777" w:rsidR="00C733EA" w:rsidRDefault="00C733EA">
      <w:pPr>
        <w:pStyle w:val="Prrafodelista"/>
        <w:numPr>
          <w:ilvl w:val="0"/>
          <w:numId w:val="18"/>
        </w:numPr>
        <w:spacing w:line="276" w:lineRule="auto"/>
        <w:rPr>
          <w:b w:val="0"/>
          <w:bCs w:val="0"/>
          <w:color w:val="000000"/>
        </w:rPr>
      </w:pPr>
      <w:r>
        <w:rPr>
          <w:b w:val="0"/>
          <w:bCs w:val="0"/>
          <w:color w:val="000000"/>
        </w:rPr>
        <w:lastRenderedPageBreak/>
        <w:t>SGIA: Sistema de Gestión de Inteligencia Artificial</w:t>
      </w:r>
    </w:p>
    <w:p w14:paraId="02E5F6FF"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4B41591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2504D4DB"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456690D4"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0ACEE27F"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TI: Tecnologías de la Información</w:t>
      </w:r>
    </w:p>
    <w:p w14:paraId="3DD3CE92"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TUO: Texto Único Ordenado</w:t>
      </w:r>
    </w:p>
    <w:p w14:paraId="01A885DE"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39244C6C"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949C9C"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IA y observando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2048D5A7" w14:textId="77777777" w:rsidR="00D443F8" w:rsidRDefault="00226840" w:rsidP="00226840">
      <w:pPr>
        <w:spacing w:after="60" w:line="276" w:lineRule="auto"/>
        <w:jc w:val="both"/>
        <w:rPr>
          <w:rFonts w:ascii="Arial" w:hAnsi="Arial" w:cs="Arial"/>
        </w:rPr>
      </w:pPr>
      <w:r>
        <w:rPr>
          <w:rFonts w:ascii="Arial" w:hAnsi="Arial" w:cs="Arial"/>
          <w:highlight w:val="green"/>
        </w:rPr>
        <w:t>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25393E5D"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201A2F55" w14:textId="77777777"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Pr>
          <w:rFonts w:ascii="Arial" w:hAnsi="Arial" w:cs="Arial"/>
          <w:color w:val="000000"/>
          <w:highlight w:val="lightGray"/>
        </w:rPr>
        <w:t>Se exceptúa de su alcance al Órgano de Control Institucional, que se rige por las disposiciones del Sistema Nacional de Control.</w:t>
      </w:r>
    </w:p>
    <w:p w14:paraId="2796968A"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719EA9F"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184AC256"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070E184A"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42C68774"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55474C4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2B46F3A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5BFEF52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5F10F4E6"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288FF9D1"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366F8DB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709D31B9"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59896A89" w14:textId="77777777"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07C8EC0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sus modificatorias aprobadas por Decreto Supremo N.° 075-2023-PCM y Decreto Supremo N.° 098-2025-PCM (31/07/2025).</w:t>
      </w:r>
    </w:p>
    <w:p w14:paraId="42129AD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ECBC21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49E2A45B"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016-2024-JUS (30/11/2024).</w:t>
      </w:r>
    </w:p>
    <w:p w14:paraId="16C81E63"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164281F3"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108013C8"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C83A498"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014E12E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2B378D18" w14:textId="77777777"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0D2CAA83" w14:textId="77777777"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entre ellos la Política de Seguridad de la Información (SGSI-PO-01).</w:t>
      </w:r>
    </w:p>
    <w:p w14:paraId="05962BF0" w14:textId="77777777"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050-2019/SUNAT (06/03/2019), que aprueba los documentos del Sistema de Gestión de Seguridad de la Información de la SUNAT, entre ellos el Manual de Políticas del Sistema de Gestión de Seguridad de la Información (SGSI-MA-03).</w:t>
      </w:r>
    </w:p>
    <w:p w14:paraId="6D2044D4" w14:textId="77777777"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Resolución de Oficina N.° 001-2024-SUNAT/1V0000 (16/12/2024), que aprueba la Metodología para la formulación, aprobación y control de los Documentos Normativos Institucionales (METDONI) Versión 1.4.</w:t>
      </w:r>
    </w:p>
    <w:p w14:paraId="09FD68C6" w14:textId="77777777"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lastRenderedPageBreak/>
        <w:t>Resolución de Oficina N.° 000002-2023-SUNAT/1V0000 (22/12/2023), que aprueba la Metodología para la Gestión por Procesos (METGEP) Versión 5.0.</w:t>
      </w:r>
    </w:p>
    <w:p w14:paraId="59A93770"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4BC0B6C7"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3B30CA22" w14:textId="77777777" w:rsidR="00863A18" w:rsidRPr="00923C59" w:rsidRDefault="0033689D" w:rsidP="00B23382">
      <w:pPr>
        <w:spacing w:line="276" w:lineRule="auto"/>
        <w:rPr>
          <w:rFonts w:ascii="Arial" w:hAnsi="Arial" w:cs="Arial"/>
        </w:rPr>
      </w:pPr>
      <w:r>
        <w:rPr>
          <w:rFonts w:ascii="Arial" w:hAnsi="Arial" w:cs="Arial"/>
        </w:rPr>
        <w:br w:type="page"/>
      </w:r>
    </w:p>
    <w:p w14:paraId="59C74C06"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4DBC5B92"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E11BE43" w14:textId="77777777" w:rsidR="0033689D" w:rsidRPr="00923C59" w:rsidRDefault="0033689D">
      <w:pPr>
        <w:pStyle w:val="Prrafodelista"/>
        <w:numPr>
          <w:ilvl w:val="0"/>
          <w:numId w:val="8"/>
        </w:numPr>
        <w:spacing w:line="276" w:lineRule="auto"/>
        <w:rPr>
          <w:b w:val="0"/>
          <w:bCs w:val="0"/>
          <w:vanish/>
          <w:color w:val="000000"/>
        </w:rPr>
      </w:pPr>
    </w:p>
    <w:p w14:paraId="19BD027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03140E7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Sus etapas son las previstas en el numeral 6.1.1 de la presente directiva. [ISO/IEC 22989:2022, sección 3.2.1; NTP-ISO/IEC 42001:2025, Anexo A, A.6]</w:t>
      </w:r>
    </w:p>
    <w:p w14:paraId="337C6591"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46514032" w14:textId="77777777"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3618AAD0" w14:textId="7777777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6B5DAF92" w14:textId="77777777"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0425753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C0E9E84"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47E3F82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0FB30373" w14:textId="77777777"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w:t>
      </w:r>
      <w:r>
        <w:rPr>
          <w:b w:val="0"/>
          <w:bCs w:val="0"/>
          <w:color w:val="000000"/>
          <w:highlight w:val="yellow"/>
        </w:rPr>
        <w:lastRenderedPageBreak/>
        <w:t xml:space="preserve">genera sobre los derechos de los administrados, previo a su desarrollo, adquisición o implementación. </w:t>
      </w:r>
      <w:r>
        <w:rPr>
          <w:b w:val="0"/>
          <w:bCs w:val="0"/>
          <w:color w:val="000000"/>
          <w:highlight w:val="yellow"/>
          <w:lang w:val="en-US"/>
        </w:rPr>
        <w:t>[D.S. N.° 115-2025-PCM, Art. 30; NTP-ISO/IEC 42001:2025, Anexo A, A.5.2]</w:t>
      </w:r>
    </w:p>
    <w:p w14:paraId="6198171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2BB803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0E31845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1CADA07F"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[D.S. N.° 115-2025-PCM, Art. 7 lit. h); ISO/IEC 22989:2022, sección 3.4.3]</w:t>
      </w:r>
    </w:p>
    <w:p w14:paraId="4BF2DACA"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[D.S. N.° 115-2025-PCM, Art. 7 lit. h); ISO/IEC 22989:2022, sección 3.4.4]</w:t>
      </w:r>
    </w:p>
    <w:p w14:paraId="3EC0492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71C25758"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479DBB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092C83E5" w14:textId="77777777"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0BCC9141"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41ED32C5"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lastRenderedPageBreak/>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43C18655" w14:textId="77777777"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724B51C1"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[Ley N.° 31814, Art. 2; D.S. N.° 115-2025-PCM, Art. 6 lit. j]</w:t>
      </w:r>
    </w:p>
    <w:p w14:paraId="4E8C42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5CD5251"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60DBD679" w14:textId="77777777"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6CBFD34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1618ECD0"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541AD05" w14:textId="77777777" w:rsidR="00A46D47" w:rsidRPr="00923C59" w:rsidRDefault="00A46D47" w:rsidP="00A46D47">
      <w:pPr>
        <w:pStyle w:val="SubtituloDONI"/>
        <w:spacing w:line="276" w:lineRule="auto"/>
        <w:ind w:left="851"/>
      </w:pPr>
      <w:r>
        <w:t>5.1</w:t>
      </w:r>
      <w:r>
        <w:tab/>
        <w:t>De los principios para el Gobierno de IA</w:t>
      </w:r>
    </w:p>
    <w:p w14:paraId="53978144"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Política de IA</w:t>
      </w:r>
      <w:r>
        <w:rPr>
          <w:rFonts w:ascii="Arial" w:eastAsia="Arial" w:hAnsi="Arial" w:cs="Arial"/>
          <w:color w:val="000000"/>
        </w:rPr>
        <w:t>, en concordancia con la ENIA.</w:t>
      </w:r>
    </w:p>
    <w:p w14:paraId="7646EF7B"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r>
      <w:r>
        <w:rPr>
          <w:rFonts w:ascii="Arial" w:hAnsi="Arial" w:cs="Arial"/>
          <w:color w:val="000000"/>
          <w:highlight w:val="lightGray"/>
        </w:rPr>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A5E4376"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2D4ED06C" w14:textId="77777777" w:rsidR="00A46D47" w:rsidRPr="00A46D47" w:rsidRDefault="00A46D47" w:rsidP="00A46D47">
      <w:pPr>
        <w:spacing w:after="60" w:line="276" w:lineRule="auto"/>
        <w:ind w:left="1276" w:hanging="720"/>
      </w:pPr>
      <w:r>
        <w:rPr>
          <w:color w:val="000000"/>
          <w:highlight w:val="cyan"/>
        </w:rPr>
        <w:t>5.1.4</w:t>
      </w:r>
      <w:r>
        <w:rPr>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439E8ECF"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34D9714B" w14:textId="77777777" w:rsidR="00863A18" w:rsidRPr="00923C59" w:rsidRDefault="00863A18" w:rsidP="00B23382">
      <w:pPr>
        <w:pStyle w:val="SubtituloDONI"/>
        <w:spacing w:line="276" w:lineRule="auto"/>
        <w:ind w:left="851"/>
      </w:pPr>
      <w:r>
        <w:t>5.2</w:t>
      </w:r>
      <w:r>
        <w:tab/>
        <w:t>De la función de Gobierno de Inteligencia Artificial</w:t>
      </w:r>
    </w:p>
    <w:p w14:paraId="14DC18C6"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5AAF2531" w14:textId="77777777" w:rsidR="00E34945" w:rsidRDefault="00E34945" w:rsidP="00E34945">
      <w:pPr>
        <w:pStyle w:val="SubtituloDONI"/>
        <w:spacing w:line="276" w:lineRule="auto"/>
        <w:ind w:left="851"/>
      </w:pPr>
      <w:r>
        <w:t>5.3</w:t>
      </w:r>
      <w:r>
        <w:tab/>
        <w:t>De la Comisión de Gobierno de IA</w:t>
      </w:r>
    </w:p>
    <w:p w14:paraId="0C32AAA9"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r>
      <w:r>
        <w:rPr>
          <w:rFonts w:ascii="Arial" w:eastAsia="Arial" w:hAnsi="Arial" w:cs="Arial"/>
          <w:color w:val="000000"/>
          <w:highlight w:val="green"/>
        </w:rPr>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0EC9D16A"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Las funciones de la Comisión de Gobierno de IA, en apoyo al CGTD, se definen en el numeral 5.4 y en las disposiciones específicas de la presente directiva.</w:t>
      </w:r>
    </w:p>
    <w:p w14:paraId="5F714CC6"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5.3.3</w:t>
      </w:r>
      <w:r>
        <w:rPr>
          <w:rFonts w:ascii="Arial" w:eastAsia="Arial" w:hAnsi="Arial" w:cs="Arial"/>
          <w:color w:val="000000"/>
        </w:rPr>
        <w:tab/>
        <w:t xml:space="preserve">La condición de integrante de la Comisión de Gobierno de IA no limita ni condiciona el ejercicio de las funciones que el ROF y la normativa institucional asignan a cada unidad de organización que la integra. En particular, la Oficina de Integridad Institucional ejerce con independencia la supervisión prevista en el numeral 6.14 y el tratamiento de las conductas que se le comuniquen </w:t>
      </w:r>
      <w:r>
        <w:rPr>
          <w:rFonts w:ascii="Arial" w:eastAsia="Arial" w:hAnsi="Arial" w:cs="Arial"/>
          <w:color w:val="000000"/>
        </w:rPr>
        <w:lastRenderedPageBreak/>
        <w:t>conforme al numeral 6.10.6, y la Intendencia Nacional de Asesoría Legal Interna ejerce con independencia la asesoría y la revisión en materia de cumplimiento normativo.</w:t>
      </w:r>
    </w:p>
    <w:p w14:paraId="3796E514" w14:textId="77777777" w:rsidR="005D662A" w:rsidRDefault="005D662A" w:rsidP="008E63B0">
      <w:pPr>
        <w:spacing w:after="60" w:line="276" w:lineRule="auto"/>
        <w:ind w:left="1276" w:hanging="720"/>
        <w:jc w:val="both"/>
        <w:rPr>
          <w:rFonts w:ascii="Arial" w:eastAsia="Arial" w:hAnsi="Arial" w:cs="Arial"/>
          <w:color w:val="000000"/>
        </w:rPr>
      </w:pPr>
    </w:p>
    <w:p w14:paraId="319EFEF7" w14:textId="77777777" w:rsidR="005D662A" w:rsidRDefault="005D662A" w:rsidP="008E63B0">
      <w:pPr>
        <w:spacing w:after="60" w:line="276" w:lineRule="auto"/>
        <w:ind w:left="1276" w:hanging="720"/>
        <w:jc w:val="both"/>
        <w:rPr>
          <w:rFonts w:ascii="Arial" w:eastAsia="Arial" w:hAnsi="Arial" w:cs="Arial"/>
          <w:color w:val="000000"/>
        </w:rPr>
      </w:pPr>
    </w:p>
    <w:p w14:paraId="39DFC6F0" w14:textId="77777777" w:rsidR="005D662A" w:rsidRDefault="005D662A" w:rsidP="008E63B0">
      <w:pPr>
        <w:spacing w:after="60" w:line="276" w:lineRule="auto"/>
        <w:ind w:left="1276" w:hanging="720"/>
        <w:jc w:val="both"/>
        <w:rPr>
          <w:rFonts w:ascii="Arial" w:eastAsia="Arial" w:hAnsi="Arial" w:cs="Arial"/>
          <w:color w:val="000000"/>
        </w:rPr>
      </w:pPr>
    </w:p>
    <w:p w14:paraId="6F7395F0" w14:textId="77777777" w:rsidR="00863A18" w:rsidRPr="00923C59" w:rsidRDefault="00863A18" w:rsidP="00B23382">
      <w:pPr>
        <w:pStyle w:val="SubtituloDONI"/>
        <w:spacing w:line="276" w:lineRule="auto"/>
        <w:ind w:left="851"/>
      </w:pPr>
      <w:r>
        <w:t>5.4</w:t>
      </w:r>
      <w:r>
        <w:tab/>
        <w:t>De los roles y responsabilidades</w:t>
      </w:r>
    </w:p>
    <w:p w14:paraId="404C0E80"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49E5CDB1"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0D51725"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74B9D89A"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010E4AF"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321B7D5"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F96514D"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3E77C188"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B77FDD"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B0F4C3"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AAAE82"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53F5B0FA"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13935B69"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172696E6"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43D14FB6"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485F4B"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6E67"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A43B0F"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217A9FE5"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7854C7F7" w14:textId="7F312CB6" w:rsidR="002840F0" w:rsidRPr="00F775C3" w:rsidRDefault="00F775C3" w:rsidP="0047575A">
            <w:pPr>
              <w:pStyle w:val="Prrafodelista"/>
              <w:numPr>
                <w:ilvl w:val="0"/>
                <w:numId w:val="13"/>
              </w:numPr>
              <w:spacing w:before="20" w:after="20" w:line="276" w:lineRule="auto"/>
              <w:ind w:left="299" w:hanging="283"/>
              <w:jc w:val="left"/>
              <w:rPr>
                <w:b w:val="0"/>
                <w:bCs w:val="0"/>
                <w:highlight w:val="green"/>
              </w:rPr>
            </w:pPr>
            <w:r w:rsidRPr="00F775C3">
              <w:rPr>
                <w:b w:val="0"/>
                <w:bCs w:val="0"/>
                <w:highlight w:val="green"/>
              </w:rPr>
              <w:t xml:space="preserve">Aprueba los casos de uso. Valida el Plan de Acción de Inteligencia Artificial, conforme al numeral 5.3 del artículo 5 de la Resolución </w:t>
            </w:r>
            <w:r w:rsidRPr="00F775C3">
              <w:rPr>
                <w:b w:val="0"/>
                <w:bCs w:val="0"/>
                <w:highlight w:val="green"/>
              </w:rPr>
              <w:lastRenderedPageBreak/>
              <w:t>Ministerial N.° 152-2026-PCM y al numeral 7.11 de la presente directiva.</w:t>
            </w:r>
          </w:p>
          <w:p w14:paraId="67883C46"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707D38D8"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0EFABA7F" w14:textId="77777777"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020343E3"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EBCE16" w14:textId="77777777"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4DFB15" w14:textId="77777777"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A62D5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Preparar la propuesta del Plan de Acción de Inteligencia Artificial y sus actualizaciones, conforme al numeral 7.11.</w:t>
            </w:r>
          </w:p>
          <w:p w14:paraId="28266535"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4056CBB"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3F2930E7" w14:textId="77777777"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lastRenderedPageBreak/>
              <w:t>Asegurar el cumplimiento del Gobierno de IA en la SUNAT.</w:t>
            </w:r>
          </w:p>
          <w:p w14:paraId="2A45E822"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56E72E80"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7DEFCFA5"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73FDE366"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6E09C700"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08242A16"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w:t>
            </w:r>
          </w:p>
          <w:p w14:paraId="6E6F54C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401508E6" w14:textId="77777777"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52501742" w14:textId="77777777" w:rsidR="00B34A74" w:rsidRDefault="00B34A74" w:rsidP="005D662A">
      <w:pPr>
        <w:pStyle w:val="SubtituloDONI"/>
        <w:spacing w:before="0" w:after="0"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3D0F35F7" w14:textId="77777777" w:rsidTr="005D662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59916DE"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61DEE535"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B960D1D"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681D6D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E1BF6F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0374076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0BFCE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F294F8"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49C08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p w14:paraId="7A6B5A4C"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Supervisa y evalúa que los modelos y algoritmos de los SBIA de riesgo alto cumplan los estándares de calidad y ética aplicables, conforme al numeral 6.5 del artículo 6 de la Resolución Ministerial N.° 152-2026-PCM. La ejerce en coordinación con las unidades de organización y con los propietarios de los casos de uso, y se apoya en las verificaciones previstas en los numerales 6.6.4, 6.10.3 y 6.14.</w:t>
            </w:r>
          </w:p>
        </w:tc>
      </w:tr>
      <w:tr w:rsidR="00B34A74" w14:paraId="61C84EC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4DB725" w14:textId="77777777" w:rsidR="00B34A74" w:rsidRDefault="00B34A74" w:rsidP="003D4DEA">
            <w:pPr>
              <w:spacing w:after="0" w:line="276" w:lineRule="auto"/>
            </w:pPr>
            <w:r>
              <w:rPr>
                <w:rFonts w:ascii="Arial" w:eastAsia="Arial" w:hAnsi="Arial" w:cs="Arial"/>
                <w:b/>
                <w:bCs/>
                <w:color w:val="000000"/>
              </w:rPr>
              <w:t>Oficial de</w:t>
            </w:r>
          </w:p>
          <w:p w14:paraId="6177B20C"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66B9F"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8B96D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D278FE7"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6729C68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43663"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274FFA"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3405C3"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58CDB872"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06F2B81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B11B94"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BD90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40C5D8" w14:textId="77777777"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 xml:space="preserve">En materia de seguridad digital: asegura y supervisa la adopción de los estándares y normas técnicas de seguridad de la información cuando </w:t>
            </w:r>
            <w:r>
              <w:rPr>
                <w:b w:val="0"/>
                <w:bCs w:val="0"/>
                <w:color w:val="000000"/>
                <w:highlight w:val="green"/>
              </w:rPr>
              <w:lastRenderedPageBreak/>
              <w:t>la INSI desarrolla, adquiere o terceriza SBIA. Propone las medidas de gestión de riesgos de seguridad de la información aplicables a los SBIA. Comunica al Centro Nacional de Seguridad Digital (CNSD) los incidentes de seguridad digital que involucren un SBIA y los informa a la máxima autoridad administrativa de la entidad, conforme a la Directiva N.° 001-2023-PCM/SGTD. Informa al CGTD los que resulten críticos. Cuando un SBIA constituya un activo de información de un proceso comprendido en el alcance del SGSI, coordina la aplicación de los controles que correspondan.</w:t>
            </w:r>
          </w:p>
        </w:tc>
      </w:tr>
      <w:tr w:rsidR="00B34A74" w14:paraId="127F3D7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8C8B1E"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C1CC0D"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BDD382"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4067F253"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EC83AA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4E834B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64B5A6"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9717A"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A33CCC"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76603207" w14:textId="77777777"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lastRenderedPageBreak/>
              <w:t xml:space="preserve">Asesora sobre el cumplimiento normativo de los SBIA. </w:t>
            </w:r>
            <w:r>
              <w:rPr>
                <w:b w:val="0"/>
                <w:bCs w:val="0"/>
                <w:highlight w:val="green"/>
              </w:rPr>
              <w:t>Revisa la EIA en materia de cumplimiento 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636C212A"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6413461"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las consultas legales sobre IA que no versen sobre materias de competencia de la Intendencia Nacional Jurídico Tributaria o de la Intendencia Nacional Jurídico Aduanera, conforme al artículo 55 del ROF.</w:t>
            </w:r>
          </w:p>
        </w:tc>
      </w:tr>
      <w:tr w:rsidR="00B34A74" w14:paraId="66A7D25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E8B4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6DDF91" w14:textId="77777777"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267A25"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428A752" w14:textId="77777777"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18DB8D75"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3E81B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0254D2"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7CB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7B80D796"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7E405A7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6DA3"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0DF88"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C2BAA"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2E43E8A2" w14:textId="77777777"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694734A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AF88C"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7DD59F"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790888"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38492618" w14:textId="77777777"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3CF703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BB742E"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650B8A"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8664D"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61F98883" w14:textId="77777777"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w:t>
            </w:r>
          </w:p>
        </w:tc>
      </w:tr>
    </w:tbl>
    <w:p w14:paraId="278FF41E" w14:textId="77777777" w:rsidR="005D662A" w:rsidRDefault="005D662A" w:rsidP="005D662A">
      <w:pPr>
        <w:pStyle w:val="Ttulo1"/>
        <w:numPr>
          <w:ilvl w:val="0"/>
          <w:numId w:val="0"/>
        </w:numPr>
        <w:spacing w:before="0" w:after="0" w:line="276" w:lineRule="auto"/>
        <w:ind w:left="709"/>
        <w:rPr>
          <w:rFonts w:cs="Arial"/>
          <w:szCs w:val="22"/>
        </w:rPr>
      </w:pPr>
      <w:bookmarkStart w:id="6" w:name="_Toc235003966"/>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5D662A" w:rsidRPr="003D4DEA" w14:paraId="739C53E6" w14:textId="77777777" w:rsidTr="005D662A">
        <w:trPr>
          <w:trHeight w:val="639"/>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4CB5C03A" w14:textId="77777777" w:rsidR="005D662A" w:rsidRPr="003D4DEA" w:rsidRDefault="005D662A" w:rsidP="00CA63CE">
            <w:pPr>
              <w:spacing w:before="20" w:after="20" w:line="276" w:lineRule="auto"/>
              <w:jc w:val="both"/>
              <w:rPr>
                <w:highlight w:val="yellow"/>
              </w:rPr>
            </w:pPr>
            <w:r>
              <w:rPr>
                <w:rFonts w:ascii="Arial" w:eastAsia="Arial" w:hAnsi="Arial" w:cs="Arial"/>
                <w:b/>
                <w:bCs/>
              </w:rPr>
              <w:t>Otras unidades de organización con responsabilidad en el gobierno de IA</w:t>
            </w:r>
          </w:p>
        </w:tc>
      </w:tr>
      <w:tr w:rsidR="005D662A" w14:paraId="6A791DF4" w14:textId="77777777" w:rsidTr="005D662A">
        <w:trPr>
          <w:trHeight w:val="580"/>
          <w:tblHeader/>
        </w:trPr>
        <w:tc>
          <w:tcPr>
            <w:tcW w:w="1843"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D0B8B76" w14:textId="2CAE7192" w:rsidR="005D662A" w:rsidRPr="005D662A" w:rsidRDefault="005D662A" w:rsidP="005D662A">
            <w:pPr>
              <w:spacing w:before="20" w:after="20" w:line="276" w:lineRule="auto"/>
              <w:jc w:val="both"/>
              <w:rPr>
                <w:rFonts w:ascii="Arial" w:eastAsia="Arial" w:hAnsi="Arial" w:cs="Arial"/>
                <w:b/>
                <w:bCs/>
              </w:rPr>
            </w:pPr>
            <w:r w:rsidRPr="005D662A">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EF20C93" w14:textId="3D1F4DE1" w:rsidR="005D662A" w:rsidRPr="005D662A" w:rsidRDefault="005D662A" w:rsidP="005D662A">
            <w:pPr>
              <w:spacing w:before="20" w:after="20" w:line="276" w:lineRule="auto"/>
              <w:jc w:val="both"/>
              <w:rPr>
                <w:rFonts w:ascii="Arial" w:eastAsia="Arial" w:hAnsi="Arial" w:cs="Arial"/>
                <w:b/>
                <w:bCs/>
              </w:rPr>
            </w:pPr>
            <w:r w:rsidRPr="005D662A">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56D95405" w14:textId="3FDEAB95" w:rsidR="005D662A" w:rsidRPr="005D662A" w:rsidRDefault="005D662A" w:rsidP="005D662A">
            <w:pPr>
              <w:spacing w:before="20" w:after="20" w:line="276" w:lineRule="auto"/>
              <w:jc w:val="both"/>
              <w:rPr>
                <w:rFonts w:ascii="Arial" w:eastAsia="Arial" w:hAnsi="Arial" w:cs="Arial"/>
                <w:b/>
                <w:bCs/>
              </w:rPr>
            </w:pPr>
            <w:r w:rsidRPr="005D662A">
              <w:rPr>
                <w:rFonts w:ascii="Arial" w:eastAsia="Arial" w:hAnsi="Arial" w:cs="Arial"/>
                <w:b/>
                <w:bCs/>
              </w:rPr>
              <w:t>Responsabilidades</w:t>
            </w:r>
          </w:p>
        </w:tc>
      </w:tr>
      <w:tr w:rsidR="005D662A" w14:paraId="2640B102"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4B8ECC" w14:textId="77777777" w:rsidR="005D662A" w:rsidRDefault="005D662A" w:rsidP="00CA63CE">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B205D9" w14:textId="77777777" w:rsidR="005D662A" w:rsidRDefault="005D662A" w:rsidP="00CA63CE">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7123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06A2FDFC"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Conduce el proceso de elaboración de las acciones de sensibilización, concientización y capacitación en IA, diferenciadas por grupos de uso de SBIA, y eleva la propuesta para su aprobación, conforme al literal f) del artículo 197 del ROF.</w:t>
            </w:r>
          </w:p>
          <w:p w14:paraId="35F667E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Promueve la adopción de la inteligencia artificial en el ámbito de las personas, conforme al numeral 6.13.3.</w:t>
            </w:r>
          </w:p>
          <w:p w14:paraId="48FC6A46"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1685CE1B"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r w:rsidR="005D662A" w14:paraId="3D75E0F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D37358" w14:textId="77777777" w:rsidR="005D662A" w:rsidRDefault="005D662A" w:rsidP="00CA63CE">
            <w:pPr>
              <w:spacing w:before="20" w:after="20" w:line="276" w:lineRule="auto"/>
              <w:rPr>
                <w:rFonts w:ascii="Arial" w:hAnsi="Arial" w:cs="Arial"/>
              </w:rPr>
            </w:pPr>
            <w:r>
              <w:rPr>
                <w:rFonts w:ascii="Arial" w:eastAsia="Arial" w:hAnsi="Arial" w:cs="Arial"/>
                <w:b/>
                <w:bCs/>
              </w:rPr>
              <w:t>Interpretación normativa tributaria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FCB3BC" w14:textId="77777777" w:rsidR="005D662A" w:rsidRDefault="005D662A" w:rsidP="00CA63CE">
            <w:pPr>
              <w:spacing w:before="20" w:after="20" w:line="276" w:lineRule="auto"/>
              <w:rPr>
                <w:rFonts w:ascii="Arial" w:hAnsi="Arial" w:cs="Arial"/>
              </w:rPr>
            </w:pPr>
            <w:r>
              <w:rPr>
                <w:rFonts w:ascii="Arial" w:eastAsia="Arial" w:hAnsi="Arial" w:cs="Arial"/>
              </w:rPr>
              <w:t>INJT</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8190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tributarias, conforme al artículo 362 del ROF.</w:t>
            </w:r>
          </w:p>
          <w:p w14:paraId="1135D4D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Emite opinión legal vinculante sobre las consultas que le formulan las unidades de organización en las materias de su competencia, conforme al literal c) del artículo 363 del ROF.</w:t>
            </w:r>
          </w:p>
          <w:p w14:paraId="593278F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0057A587"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lastRenderedPageBreak/>
              <w:t>La Gerencia de Arquitectura solicita su opinión conforme al numeral 6.5.8.</w:t>
            </w:r>
          </w:p>
        </w:tc>
      </w:tr>
      <w:tr w:rsidR="005D662A" w14:paraId="7876BAE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436088" w14:textId="77777777" w:rsidR="005D662A" w:rsidRDefault="005D662A" w:rsidP="00CA63CE">
            <w:pPr>
              <w:spacing w:before="20" w:after="20" w:line="276" w:lineRule="auto"/>
              <w:rPr>
                <w:rFonts w:ascii="Arial" w:hAnsi="Arial" w:cs="Arial"/>
              </w:rPr>
            </w:pPr>
            <w:r>
              <w:rPr>
                <w:rFonts w:ascii="Arial" w:eastAsia="Arial" w:hAnsi="Arial" w:cs="Arial"/>
                <w:b/>
                <w:bCs/>
              </w:rPr>
              <w:lastRenderedPageBreak/>
              <w:t>Interpretación normativa aduanera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B279C" w14:textId="77777777" w:rsidR="005D662A" w:rsidRDefault="005D662A" w:rsidP="00CA63CE">
            <w:pPr>
              <w:spacing w:before="20" w:after="20" w:line="276" w:lineRule="auto"/>
              <w:rPr>
                <w:rFonts w:ascii="Arial" w:hAnsi="Arial" w:cs="Arial"/>
              </w:rPr>
            </w:pPr>
            <w:r>
              <w:rPr>
                <w:rFonts w:ascii="Arial" w:eastAsia="Arial" w:hAnsi="Arial" w:cs="Arial"/>
              </w:rPr>
              <w:t>INJA</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8B5C3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en materia aduanera, conforme al artículo 453 del ROF.</w:t>
            </w:r>
          </w:p>
          <w:p w14:paraId="185DB44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Emite opinión legal vinculante y absuelve las consultas que le formulan las unidades de organización en las materias de su competencia, conforme a los literales c) y d) del artículo 454 del ROF.</w:t>
            </w:r>
          </w:p>
          <w:p w14:paraId="5DDAAD4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Cuando la materia tenga incidencia tributaria, coordina con la Intendencia Nacional Jurídico Tributaria, conforme al literal c) del citado artículo.</w:t>
            </w:r>
          </w:p>
          <w:p w14:paraId="2936B60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32F191E5"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bl>
    <w:p w14:paraId="600F7985" w14:textId="77777777" w:rsidR="005D662A" w:rsidRPr="005D662A" w:rsidRDefault="005D662A" w:rsidP="005D662A"/>
    <w:p w14:paraId="654C405E" w14:textId="77777777" w:rsidR="005D662A" w:rsidRDefault="005D662A" w:rsidP="005D662A"/>
    <w:p w14:paraId="0959FA27" w14:textId="77777777" w:rsidR="005D662A" w:rsidRDefault="005D662A" w:rsidP="005D662A"/>
    <w:p w14:paraId="7CD25393" w14:textId="77777777" w:rsidR="005D662A" w:rsidRPr="005D662A" w:rsidRDefault="005D662A" w:rsidP="005D662A"/>
    <w:p w14:paraId="7F6A6C42" w14:textId="77777777" w:rsidR="005D662A" w:rsidRPr="005D662A" w:rsidRDefault="005D662A" w:rsidP="005D662A">
      <w:pPr>
        <w:pStyle w:val="Ttulo1"/>
        <w:numPr>
          <w:ilvl w:val="0"/>
          <w:numId w:val="0"/>
        </w:numPr>
        <w:spacing w:after="0" w:line="276" w:lineRule="auto"/>
        <w:ind w:left="709"/>
        <w:rPr>
          <w:rFonts w:cs="Arial"/>
          <w:szCs w:val="22"/>
        </w:rPr>
      </w:pPr>
    </w:p>
    <w:p w14:paraId="783690D6" w14:textId="072A5E25" w:rsidR="00863A18" w:rsidRPr="00923C59" w:rsidRDefault="003D4DEA" w:rsidP="00B23382">
      <w:pPr>
        <w:pStyle w:val="Ttulo1"/>
        <w:spacing w:line="276" w:lineRule="auto"/>
        <w:rPr>
          <w:rFonts w:cs="Arial"/>
          <w:szCs w:val="22"/>
        </w:rPr>
      </w:pPr>
      <w:r>
        <w:rPr>
          <w:rFonts w:cs="Arial"/>
          <w:bCs/>
          <w:color w:val="000000"/>
          <w:szCs w:val="22"/>
        </w:rPr>
        <w:t>DISPOSICIONES ESPECÍFICAS</w:t>
      </w:r>
      <w:bookmarkEnd w:id="6"/>
    </w:p>
    <w:p w14:paraId="605F58E0"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44E18262" w14:textId="77777777" w:rsidR="00863A18" w:rsidRPr="00923C59" w:rsidRDefault="00863A18" w:rsidP="00B23382">
      <w:pPr>
        <w:pStyle w:val="SubtituloDONI"/>
        <w:spacing w:line="276" w:lineRule="auto"/>
        <w:ind w:left="851"/>
      </w:pPr>
      <w:r>
        <w:t>6.1</w:t>
      </w:r>
      <w:r>
        <w:tab/>
        <w:t>Del ciclo de vida de los SBIA</w:t>
      </w:r>
    </w:p>
    <w:p w14:paraId="1A53D0DB" w14:textId="77777777"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Pr>
          <w:rFonts w:ascii="Arial" w:eastAsia="Arial" w:hAnsi="Arial" w:cs="Arial"/>
          <w:color w:val="000000"/>
          <w:highlight w:val="green"/>
        </w:rPr>
        <w:t>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67C088D0"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C802093"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6E7806"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FF691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36FEC1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29FCF659"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D93B0"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27B80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ADBD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1EE3A"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704C0EE7"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836E8D"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F63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D71B90" w14:textId="77777777"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492CE4"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4942F71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E4994C"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D9C94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0CA73A" w14:textId="77777777" w:rsidR="00E67A73" w:rsidRDefault="0045319E">
            <w:pPr>
              <w:spacing w:before="20" w:after="20" w:line="276" w:lineRule="auto"/>
              <w:rPr>
                <w:rFonts w:ascii="Arial" w:hAnsi="Arial" w:cs="Arial"/>
              </w:rPr>
            </w:pPr>
            <w:r>
              <w:rPr>
                <w:rFonts w:ascii="Arial" w:eastAsia="Arial" w:hAnsi="Arial" w:cs="Arial"/>
                <w:highlight w:val="green"/>
              </w:rPr>
              <w:t xml:space="preserve">La Gerencia de Arquitectura conduce el diseño de la arquitectura del SBIA y las Divisiones de Arquitectura lo </w:t>
            </w:r>
            <w:r>
              <w:rPr>
                <w:rFonts w:ascii="Arial" w:eastAsia="Arial" w:hAnsi="Arial" w:cs="Arial"/>
                <w:highlight w:val="green"/>
              </w:rPr>
              <w:lastRenderedPageBreak/>
              <w:t>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783982" w14:textId="77777777" w:rsidR="00E67A73" w:rsidRDefault="0045319E">
            <w:pPr>
              <w:spacing w:before="20" w:after="20" w:line="276" w:lineRule="auto"/>
              <w:rPr>
                <w:rFonts w:ascii="Arial" w:hAnsi="Arial" w:cs="Arial"/>
              </w:rPr>
            </w:pPr>
            <w:r>
              <w:rPr>
                <w:rFonts w:ascii="Arial" w:eastAsia="Arial" w:hAnsi="Arial" w:cs="Arial"/>
                <w:highlight w:val="green"/>
              </w:rPr>
              <w:lastRenderedPageBreak/>
              <w:t xml:space="preserve">Aprobación del diseño de la arquitectura de solución por la División de Arquitectura </w:t>
            </w:r>
            <w:r>
              <w:rPr>
                <w:rFonts w:ascii="Arial" w:eastAsia="Arial" w:hAnsi="Arial" w:cs="Arial"/>
                <w:highlight w:val="green"/>
              </w:rPr>
              <w:lastRenderedPageBreak/>
              <w:t>competente según la materia, conforme al numeral 6.5.4. Para SBIA de riesgo alto, aprobación de la EIA por el CGTD, previa al inicio del desarrollo, adquisición o implementación.</w:t>
            </w:r>
          </w:p>
        </w:tc>
      </w:tr>
      <w:tr w:rsidR="00E950CF" w:rsidRPr="00923C59" w14:paraId="074EA391"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0EC092"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FE5AE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172A1" w14:textId="77777777"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78539"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6E1F67D4"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5AC91"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1A2E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64F6C0"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5AD162" w14:textId="77777777"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w:t>
            </w:r>
            <w:r>
              <w:rPr>
                <w:rFonts w:ascii="Arial" w:hAnsi="Arial" w:cs="Arial"/>
                <w:highlight w:val="green"/>
              </w:rPr>
              <w:lastRenderedPageBreak/>
              <w:t xml:space="preserve">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así como los resultados de las pruebas de sesgo, conforme a los numerales 6.2.5, 6.6.2 y 6.6.4. Asimismo, aprueba el plan de monitoreo del SBIA conforme al numeral 6.10.1. La aprobación requiere la conformidad de la División de Control de Calidad, de la Oficina de Seguridad Informática, del </w:t>
            </w:r>
            <w:r>
              <w:rPr>
                <w:rFonts w:ascii="Arial" w:hAnsi="Arial" w:cs="Arial"/>
                <w:highlight w:val="green"/>
              </w:rPr>
              <w:lastRenderedPageBreak/>
              <w:t>propietario del caso de uso y de la Comisión de Gobierno de IA. La titularidad de la aprobación se determina conforme al numeral 6.1.2.</w:t>
            </w:r>
          </w:p>
        </w:tc>
      </w:tr>
      <w:tr w:rsidR="00E950CF" w:rsidRPr="00923C59" w14:paraId="7AACF123"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DF17F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64FF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579C23"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DD4E4" w14:textId="77777777"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03BC3E70"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BC266"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4DB87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AA9F46"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AD0597"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308F5E4D"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B3F439"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AD2EF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F0522F"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DD0C8"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07217B0E" w14:textId="77777777" w:rsidR="00E950CF" w:rsidRPr="00923C59" w:rsidRDefault="00E950CF" w:rsidP="00B23382">
      <w:pPr>
        <w:spacing w:after="60" w:line="276" w:lineRule="auto"/>
        <w:jc w:val="both"/>
        <w:rPr>
          <w:rFonts w:ascii="Arial" w:eastAsia="Arial" w:hAnsi="Arial" w:cs="Arial"/>
          <w:color w:val="000000"/>
        </w:rPr>
      </w:pPr>
    </w:p>
    <w:p w14:paraId="2A7A7BB7" w14:textId="77777777"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r>
      <w:r>
        <w:rPr>
          <w:rFonts w:ascii="Arial" w:hAnsi="Arial" w:cs="Arial"/>
          <w:color w:val="000000"/>
          <w:highlight w:val="green"/>
        </w:rPr>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7E8D4BA"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r>
      <w:r>
        <w:rPr>
          <w:rFonts w:ascii="Arial" w:eastAsia="Arial" w:hAnsi="Arial" w:cs="Arial"/>
          <w:color w:val="000000"/>
          <w:highlight w:val="green"/>
        </w:rPr>
        <w:t xml:space="preserve">Los SBIA SaaS (enfoque A) siguen un ciclo de vida abreviado, que comprende cuando menos: el registro en el Inventario Institucional de SBIA, la clasificación de riesgo conforme al numeral 6.2 y las verificaciones previstas en el numeral </w:t>
      </w:r>
      <w:r>
        <w:rPr>
          <w:rFonts w:ascii="Arial" w:eastAsia="Arial" w:hAnsi="Arial" w:cs="Arial"/>
          <w:color w:val="000000"/>
          <w:highlight w:val="green"/>
        </w:rPr>
        <w:lastRenderedPageBreak/>
        <w:t>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7A35B4B7" w14:textId="77777777"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r>
      <w:r>
        <w:rPr>
          <w:rFonts w:ascii="Arial" w:eastAsia="Arial" w:hAnsi="Arial" w:cs="Arial"/>
          <w:color w:val="000000"/>
          <w:highlight w:val="green"/>
        </w:rPr>
        <w:tab/>
        <w:t>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7962C5D1" w14:textId="77777777"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r>
      <w:r>
        <w:rPr>
          <w:rFonts w:ascii="Arial" w:hAnsi="Arial" w:cs="Arial"/>
          <w:color w:val="000000"/>
          <w:highlight w:val="lightGray"/>
        </w:rPr>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observan lo previsto en los numerales 6.4 y 6.5 de la METDONI. La aprobación corresponde a la INSI conforme al literal j) del artículo 102 del ROF; cuando la Comisión de Gobierno de IA mantenga observaciones no acogidas, estas se elevan al CGTD, que se pronuncia con anterioridad a la aprobación. </w:t>
      </w:r>
      <w:r>
        <w:rPr>
          <w:rFonts w:ascii="Arial" w:hAnsi="Arial" w:cs="Arial"/>
          <w:color w:val="000000"/>
          <w:highlight w:val="lightGray"/>
        </w:rPr>
        <w:t>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5D4BCE26" w14:textId="77777777"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6.1.6</w:t>
      </w:r>
      <w:r>
        <w:rPr>
          <w:rFonts w:ascii="Arial" w:eastAsia="Arial" w:hAnsi="Arial" w:cs="Arial"/>
          <w:color w:val="000000"/>
          <w:highlight w:val="green"/>
        </w:rPr>
        <w:tab/>
        <w:t xml:space="preserve">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w:t>
      </w:r>
      <w:r>
        <w:rPr>
          <w:rFonts w:ascii="Arial" w:eastAsia="Arial" w:hAnsi="Arial" w:cs="Arial"/>
          <w:color w:val="000000"/>
          <w:highlight w:val="green"/>
        </w:rPr>
        <w:lastRenderedPageBreak/>
        <w:t>desarrollo o adquisición, y lo integran, cuando menos, con las unidades de organización cuya competencia comprenda las materias que el SBIA involucra. Su composición se registra en la Ficha de Registro de SBIA (Anexo N.° 1).</w:t>
      </w:r>
    </w:p>
    <w:p w14:paraId="40305EF2" w14:textId="77777777" w:rsidR="00863A18" w:rsidRPr="00923C59" w:rsidRDefault="00863A18" w:rsidP="00B23382">
      <w:pPr>
        <w:pStyle w:val="SubtituloDONI"/>
        <w:spacing w:line="276" w:lineRule="auto"/>
        <w:ind w:left="851"/>
      </w:pPr>
      <w:r>
        <w:t>6.2</w:t>
      </w:r>
      <w:r>
        <w:tab/>
        <w:t>De la clasificación de los SBIA por nivel de riesgo</w:t>
      </w:r>
    </w:p>
    <w:p w14:paraId="1AB74D46"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r>
      <w:r>
        <w:rPr>
          <w:rFonts w:ascii="Arial" w:hAnsi="Arial" w:cs="Arial"/>
          <w:color w:val="000000"/>
          <w:highlight w:val="cyan"/>
        </w:rPr>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51C245D"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r>
      <w:r>
        <w:rPr>
          <w:rFonts w:ascii="Arial" w:eastAsia="Arial" w:hAnsi="Arial" w:cs="Arial"/>
          <w:color w:val="000000"/>
          <w:highlight w:val="green"/>
        </w:rPr>
        <w:tab/>
      </w:r>
      <w:r>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evaluación de viabilidad de acuerdo al ciclo de vida descrito en el numeral 6.1.1. La clasificación aplica los criterios complementarios de la Matriz de Clasificación de Riesgos de IA (Anexo N.° 2); el detalle de su aplicación se desarrolla en la metodología prevista en el numeral 6.1.5.</w:t>
      </w:r>
    </w:p>
    <w:p w14:paraId="23ABC48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xml:space="preserve">,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w:t>
      </w:r>
      <w:r>
        <w:rPr>
          <w:rFonts w:ascii="Arial" w:eastAsia="Arial" w:hAnsi="Arial" w:cs="Arial"/>
          <w:color w:val="000000"/>
          <w:highlight w:val="yellow"/>
        </w:rPr>
        <w:lastRenderedPageBreak/>
        <w:t>mecanismos de supervisión humana, transparencia y auditabilidad para garantizar la no discriminación y la protección de los derechos fundamentales, conforme al numeral 23.4 del citado artículo.</w:t>
      </w:r>
    </w:p>
    <w:p w14:paraId="0F9F2020" w14:textId="77777777"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green"/>
        </w:rPr>
        <w:t>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66A01E20"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r>
      <w:r>
        <w:rPr>
          <w:rFonts w:ascii="Arial" w:eastAsia="Arial" w:hAnsi="Arial" w:cs="Arial"/>
          <w:color w:val="000000"/>
          <w:highlight w:val="green"/>
        </w:rPr>
        <w:tab/>
        <w:t>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27B09BCD"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r>
      <w:r>
        <w:rPr>
          <w:rFonts w:ascii="Arial" w:eastAsia="Arial" w:hAnsi="Arial" w:cs="Arial"/>
          <w:color w:val="000000"/>
          <w:highlight w:val="green"/>
        </w:rPr>
        <w:tab/>
        <w:t>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3D55C9B6" w14:textId="77777777" w:rsidR="00863A18" w:rsidRPr="00923C59" w:rsidRDefault="00863A18" w:rsidP="00B23382">
      <w:pPr>
        <w:pStyle w:val="SubtituloDONI"/>
        <w:spacing w:line="276" w:lineRule="auto"/>
        <w:ind w:left="851"/>
      </w:pPr>
      <w:r>
        <w:t>6.3</w:t>
      </w:r>
      <w:r>
        <w:tab/>
        <w:t>Del Inventario Institucional de SBIA</w:t>
      </w:r>
    </w:p>
    <w:p w14:paraId="1F281479"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5FA63920"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06EA724C" w14:textId="77777777" w:rsidR="00863A18" w:rsidRPr="00923C59" w:rsidRDefault="00863A18" w:rsidP="00B23382">
      <w:pPr>
        <w:pStyle w:val="SubtituloDONI"/>
        <w:spacing w:line="276" w:lineRule="auto"/>
        <w:ind w:left="851"/>
      </w:pPr>
      <w:r>
        <w:t>6.4</w:t>
      </w:r>
      <w:r>
        <w:tab/>
        <w:t>De la evaluación de impacto algorítmico</w:t>
      </w:r>
    </w:p>
    <w:p w14:paraId="6B2F6FC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r>
      <w:r>
        <w:rPr>
          <w:rFonts w:ascii="Arial" w:eastAsia="Arial" w:hAnsi="Arial" w:cs="Arial"/>
          <w:color w:val="000000"/>
          <w:highlight w:val="green"/>
        </w:rPr>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15DFF88B"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r>
      <w:r>
        <w:rPr>
          <w:rFonts w:ascii="Arial" w:hAnsi="Arial" w:cs="Arial"/>
          <w:color w:val="000000"/>
          <w:highlight w:val="green"/>
        </w:rPr>
        <w:tab/>
        <w:t xml:space="preserve">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revisan. Cuando la materia comprenda el sentido y el alcance de las normas tributarias o aduaneras, la Comisión de Gobierno de IA convoca a la Intendencia Nacional Jurídico Tributaria o a la Intendencia Nacional Jurídico </w:t>
      </w:r>
      <w:r>
        <w:rPr>
          <w:rFonts w:ascii="Arial" w:hAnsi="Arial" w:cs="Arial"/>
          <w:color w:val="000000"/>
          <w:highlight w:val="green"/>
        </w:rPr>
        <w:lastRenderedPageBreak/>
        <w:t>Aduanera. Concluidas las revisiones, la Comisión de Gobierno de IA eleva la EIA al CGTD para su aprobación conforme al numeral 6.4.1.</w:t>
      </w:r>
    </w:p>
    <w:p w14:paraId="4C4E987B"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r>
      <w:r>
        <w:rPr>
          <w:rFonts w:ascii="Arial" w:eastAsia="Arial" w:hAnsi="Arial" w:cs="Arial"/>
          <w:color w:val="000000"/>
          <w:highlight w:val="green"/>
        </w:rPr>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7E3C720F"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294D8524" w14:textId="77777777" w:rsidR="00D528BB" w:rsidRDefault="00D528BB">
      <w:pPr>
        <w:spacing w:before="160" w:after="60" w:line="276" w:lineRule="auto"/>
        <w:rPr>
          <w:rFonts w:ascii="Arial" w:hAnsi="Arial" w:cs="Arial"/>
          <w:b/>
          <w:bCs/>
          <w:color w:val="1B3A5B"/>
          <w:sz w:val="24"/>
          <w:szCs w:val="24"/>
          <w:highlight w:val="cyan"/>
        </w:rPr>
      </w:pPr>
    </w:p>
    <w:p w14:paraId="6FF09F4F" w14:textId="46D9B6FB"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D1C8F42"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BB0D70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r>
      <w:r>
        <w:rPr>
          <w:rFonts w:ascii="Arial" w:eastAsia="Arial" w:hAnsi="Arial" w:cs="Arial"/>
          <w:color w:val="000000"/>
          <w:highlight w:val="green"/>
        </w:rPr>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A3611B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r>
      <w:r>
        <w:rPr>
          <w:rFonts w:ascii="Arial" w:eastAsia="Arial" w:hAnsi="Arial" w:cs="Arial"/>
          <w:color w:val="000000"/>
          <w:highlight w:val="green"/>
        </w:rPr>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67528214" w14:textId="77777777"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r>
      <w:r>
        <w:rPr>
          <w:rFonts w:ascii="Arial" w:eastAsia="Arial" w:hAnsi="Arial" w:cs="Arial"/>
          <w:color w:val="000000"/>
          <w:highlight w:val="green"/>
        </w:rPr>
        <w:tab/>
        <w:t xml:space="preserve">El diseño de la arquitectura de los SBIA observa los Principios de Arquitectura de TI (AAT.PRAQ.01) y los Lineamientos de Arquitectura de TI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agénticos, e infraestructura </w:t>
      </w:r>
      <w:r>
        <w:rPr>
          <w:rFonts w:ascii="Arial" w:eastAsia="Arial" w:hAnsi="Arial" w:cs="Arial"/>
          <w:color w:val="000000"/>
          <w:highlight w:val="green"/>
        </w:rPr>
        <w:lastRenderedPageBreak/>
        <w:t>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635528FB" w14:textId="77777777"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6.5.4</w:t>
      </w:r>
      <w:r>
        <w:rPr>
          <w:rFonts w:ascii="Arial" w:eastAsia="Arial" w:hAnsi="Arial" w:cs="Arial"/>
          <w:color w:val="000000"/>
          <w:highlight w:val="green"/>
        </w:rPr>
        <w:tab/>
        <w:t xml:space="preserve">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55121EB7" w14:textId="77777777"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r>
      <w:r>
        <w:rPr>
          <w:rFonts w:ascii="Arial" w:eastAsia="Arial" w:hAnsi="Arial" w:cs="Arial"/>
          <w:color w:val="000000"/>
          <w:highlight w:val="green"/>
        </w:rPr>
        <w:tab/>
        <w:t>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33314426"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Su administración observa los controles de gestión de identidades y de control de acceso del Manual de Políticas del Sistema de Gestión de Seguridad de la Información (SGSI-MA-03).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04102E57"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7BCE6C7C" w14:textId="77777777"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w:t>
      </w:r>
      <w:r>
        <w:rPr>
          <w:rFonts w:ascii="Arial" w:eastAsia="Arial" w:hAnsi="Arial" w:cs="Arial"/>
          <w:color w:val="000000"/>
          <w:highlight w:val="lightGray"/>
        </w:rPr>
        <w:tab/>
        <w:t>Los SBIA generativos que utilicen información institucional incorporan mecanismos que vinculen los resultados generados con sus fuentes de información autorizadas y vigentes. Esta trazabilidad sustenta la explicabilidad exigida en el numeral 6.9.3.</w:t>
      </w:r>
    </w:p>
    <w:p w14:paraId="3924C9AF"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w:t>
      </w:r>
      <w:r>
        <w:rPr>
          <w:rFonts w:ascii="Arial" w:eastAsia="Arial" w:hAnsi="Arial" w:cs="Arial"/>
          <w:color w:val="000000"/>
          <w:highlight w:val="green"/>
        </w:rPr>
        <w:tab/>
        <w:t xml:space="preserve">La publicación del código fuente de los SBIA financiados con fondos públicos, con licencia libre o abierta en la Plataforma Nacional de Software Público Peruano (PNSSP), se sujeta a la determinación previa de su publicabilidad. </w:t>
      </w:r>
      <w:r>
        <w:rPr>
          <w:rFonts w:ascii="Arial" w:eastAsia="Arial" w:hAnsi="Arial" w:cs="Arial"/>
          <w:color w:val="000000"/>
          <w:highlight w:val="green"/>
        </w:rPr>
        <w:lastRenderedPageBreak/>
        <w:t>Esta obligación está prevista en el numeral 28.8 del artículo 28 del RLIA. Dicha determinación verifica que el código no revele información sujeta a reserva tributaria conforme al artículo 85 del TUO del Código Tributario. Verifica asimismo que no revele reglas de detección de riesgo cuya divulgación comprometa la función de control.</w:t>
      </w:r>
    </w:p>
    <w:p w14:paraId="535A032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6.5.8</w:t>
      </w:r>
      <w:r>
        <w:rPr>
          <w:rFonts w:ascii="Arial" w:eastAsia="Arial" w:hAnsi="Arial" w:cs="Arial"/>
          <w:color w:val="000000"/>
          <w:highlight w:val="green"/>
        </w:rPr>
        <w:tab/>
        <w:t>La GA conduce la determinación de publicabilidad prevista en el numeral 6.5.7. La efectúa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Cuando la determinación comprenda el sentido y el alcance de las normas tributarias o aduaneras, la GA solicita la opinión de la Intendencia Nacional Jurídico Tributaria o de la Intendencia Nacional Jurídico Aduanera, según la materia. La publicabilidad resulta de dichas opiniones. La determinación y su resultado constan en la Ficha de Registro de SBIA (Anexo N.° 1). Cuando el código no resulte publicable, se consigna igualmente la justificación legal de la restricción. La GDS pone a disposición el código fuente cuya publicación se haya determinado procedente, conforme a los mecanismos que establezca la Plataforma Nacional de Software Público Peruano.</w:t>
      </w:r>
    </w:p>
    <w:p w14:paraId="3F3710E9" w14:textId="77777777"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6.5.9</w:t>
      </w:r>
      <w:r>
        <w:rPr>
          <w:rFonts w:ascii="Arial" w:eastAsia="Arial" w:hAnsi="Arial" w:cs="Arial"/>
          <w:color w:val="000000"/>
          <w:highlight w:val="green"/>
        </w:rPr>
        <w:tab/>
        <w:t>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3E908127" w14:textId="77777777" w:rsidR="00863A18" w:rsidRDefault="00863A18" w:rsidP="00B23382">
      <w:pPr>
        <w:pStyle w:val="SubtituloDONI"/>
        <w:spacing w:line="276" w:lineRule="auto"/>
        <w:ind w:left="851"/>
      </w:pPr>
      <w:r>
        <w:t>6.6</w:t>
      </w:r>
      <w:r>
        <w:tab/>
        <w:t>De la supervisión humana</w:t>
      </w:r>
    </w:p>
    <w:p w14:paraId="48B78C16"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r>
      <w:r>
        <w:rPr>
          <w:rFonts w:ascii="Arial" w:eastAsia="Arial" w:hAnsi="Arial" w:cs="Arial"/>
          <w:color w:val="000000"/>
          <w:highlight w:val="green"/>
        </w:rPr>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4485F671"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24C2DB5"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 xml:space="preserve">Human-on-the-loop (obligatorio para los SBIA de riesgo aceptable que interactúan directamente con el administrado o cuyo resultado influye en la </w:t>
      </w:r>
      <w:r>
        <w:rPr>
          <w:b w:val="0"/>
          <w:bCs w:val="0"/>
          <w:color w:val="000000"/>
          <w:highlight w:val="green"/>
        </w:rPr>
        <w:lastRenderedPageBreak/>
        <w:t>atención que este recibe): Un supervisor humano monitorea las operaciones del SBIA y puede intervenir ante anomalías, sin validar cada resultado individual. Aplica, entre otros, a chatbots de atención, asistentes de orientación y preclasificación.</w:t>
      </w:r>
    </w:p>
    <w:p w14:paraId="1F825EBC"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67790DF0"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2A18A082"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0DD2596C"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9BD2E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49B062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0EC2321D"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4B09496B" w14:textId="77777777"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3E526144" w14:textId="77777777"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El propietario del caso de uso, con el custodio técnico, incorpora en todo SBIA, independientemente de su nivel de riesgo,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Política de IA</w:t>
      </w:r>
      <w:r>
        <w:rPr>
          <w:rFonts w:ascii="Arial" w:eastAsia="Arial" w:hAnsi="Arial" w:cs="Arial"/>
          <w:color w:val="000000"/>
          <w:highlight w:val="green"/>
        </w:rPr>
        <w:t>.</w:t>
      </w:r>
      <w:r>
        <w:rPr>
          <w:rFonts w:ascii="Arial" w:eastAsia="Arial" w:hAnsi="Arial" w:cs="Arial"/>
          <w:color w:val="000000"/>
        </w:rPr>
        <w:t xml:space="preserve"> Con anterioridad al despliegue, la ejecución de las pruebas que sustentan la medición inicial de los indicadores de sesgo previstos en el numeral 6.10.2 corresponde a la División de Control de Calidad, como prueba no funcional, conforme al literal a) del artículo 126 del ROF. Durante la operación, la medición de dichos indicadores se efectúa conforme </w:t>
      </w:r>
      <w:r>
        <w:rPr>
          <w:rFonts w:ascii="Arial" w:eastAsia="Arial" w:hAnsi="Arial" w:cs="Arial"/>
          <w:color w:val="000000"/>
        </w:rPr>
        <w:lastRenderedPageBreak/>
        <w:t xml:space="preserve">al numeral 6.10.2. La metodología prevista en el numeral 6.1.5 desarrolla las pruebas aplicables según el tipo de SBIA. </w:t>
      </w:r>
      <w:r>
        <w:rPr>
          <w:rFonts w:ascii="Arial" w:eastAsia="Arial" w:hAnsi="Arial" w:cs="Arial"/>
          <w:color w:val="000000"/>
          <w:highlight w:val="green"/>
        </w:rPr>
        <w:t>La Comisión de Gobierno de IA verifica la implementación de estas medidas y los resultados de dichas pruebas en la etapa 5 del numeral 6.1.1, con anterioridad al despliegue.</w:t>
      </w:r>
    </w:p>
    <w:p w14:paraId="796A4DE8" w14:textId="77777777" w:rsidR="00863A18" w:rsidRPr="00923C59" w:rsidRDefault="00863A18" w:rsidP="00B23382">
      <w:pPr>
        <w:pStyle w:val="SubtituloDONI"/>
        <w:spacing w:line="276" w:lineRule="auto"/>
        <w:ind w:left="851"/>
      </w:pPr>
      <w:r>
        <w:t>6.7</w:t>
      </w:r>
      <w:r>
        <w:tab/>
        <w:t>De la seguridad y privacidad en SBIA</w:t>
      </w:r>
    </w:p>
    <w:p w14:paraId="7E3BC62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r>
      <w:r>
        <w:rPr>
          <w:rFonts w:ascii="Arial" w:eastAsia="Arial" w:hAnsi="Arial" w:cs="Arial"/>
          <w:color w:val="000000"/>
          <w:highlight w:val="green"/>
        </w:rPr>
        <w:tab/>
        <w:t>Los SBIA cumplen la Política de Seguridad de la Información (SGSI-PO-01) y el Manual de Políticas del Sistema de Gestión de Seguridad de la Información (SGSI-MA-03) de la SUNAT, en sus versiones vigentes. El Manual de Políticas es de aplicación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562E80CA"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r>
      <w:r>
        <w:rPr>
          <w:rFonts w:ascii="Arial" w:eastAsia="Arial" w:hAnsi="Arial" w:cs="Arial"/>
          <w:color w:val="000000"/>
          <w:highlight w:val="green"/>
        </w:rPr>
        <w:tab/>
        <w:t>Para los SBIA de riesgo alto y para los SBIA de riesgo aceptable que interactúen directamente con el administrado, incorporen componentes generativos o procesen datos personales o información sujeta a reserva tributaria, el custodio técnico implementa como mínimo:</w:t>
      </w:r>
    </w:p>
    <w:p w14:paraId="510FBA7F"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contención (guardrails) de entrada y salida.</w:t>
      </w:r>
    </w:p>
    <w:p w14:paraId="6372704D"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acceso basados en roles (RBAC).</w:t>
      </w:r>
    </w:p>
    <w:p w14:paraId="384B35D4"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Registro inmutable de auditoría (logs) de todas las interacciones.</w:t>
      </w:r>
    </w:p>
    <w:p w14:paraId="385CE985"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Evaluación de vulnerabilidades conforme al OWASP Top 10 para aplicaciones LLM, en la versión que determine el documento normativo del numeral 6.7.7.</w:t>
      </w:r>
    </w:p>
    <w:p w14:paraId="5F77758C"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Red teaming de los SBIA de riesgo alto, previo a su despliegue y con la periodicidad que establezca el documento normativo del numeral 6.7.7.</w:t>
      </w:r>
    </w:p>
    <w:p w14:paraId="04E55AB9"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Anonimización o seudonimización de datos personales antes del procesamiento.</w:t>
      </w:r>
    </w:p>
    <w:p w14:paraId="6DD61D08"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Su implementación se verifica en la etapa 5 del numeral 6.1.1, conforme al numeral 6.2.5. Se registra en la Ficha de Registro de SBIA (Anexo N.° 1). Estos controles constituyen medidas de seguridad digital conforme al artículo 29 del RLIA. Se implementan aplicando la NTP-ISO/IEC 27002 y la NTP-ISO 31000 vigentes, complementadas con mejores prácticas de seguridad para IA, conforme a la Sexta Disposición Complementaria Final del RLIA.</w:t>
      </w:r>
    </w:p>
    <w:p w14:paraId="4A24B417"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7D1DBDA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 xml:space="preserve">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w:t>
      </w:r>
      <w:r>
        <w:rPr>
          <w:rFonts w:ascii="Arial" w:eastAsia="Arial" w:hAnsi="Arial" w:cs="Arial"/>
          <w:color w:val="000000"/>
          <w:highlight w:val="yellow"/>
        </w:rPr>
        <w:lastRenderedPageBreak/>
        <w:t>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7902A88E"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La Gerencia de Operaciones y Soporte a Usuarios adecúa el Procedimiento de Gestión de Incidentes (A-03.1.1-PR-002) para comprender los incidentes propios del SBIA y su criterio de cierre, conforme al numeral 7.6 de la presente directiva. En tanto no se apruebe dicha adecuación, estos incidentes se registran por dicho procedimiento y su atención se rige por el presente numeral.</w:t>
      </w:r>
    </w:p>
    <w:p w14:paraId="7609429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5C4CE0E4" w14:textId="77777777"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r>
      <w:r>
        <w:rPr>
          <w:rFonts w:ascii="Arial" w:eastAsia="Arial" w:hAnsi="Arial" w:cs="Arial"/>
          <w:color w:val="000000"/>
          <w:highlight w:val="green"/>
        </w:rPr>
        <w:tab/>
        <w:t xml:space="preserve">La Oficina de Seguridad Informática elabora y propone el documento normativo de seguridad informática para SBIA, que desarrolla la forma de implementar y </w:t>
      </w:r>
      <w:r>
        <w:rPr>
          <w:rFonts w:ascii="Arial" w:eastAsia="Arial" w:hAnsi="Arial" w:cs="Arial"/>
          <w:color w:val="000000"/>
          <w:highlight w:val="green"/>
        </w:rPr>
        <w:lastRenderedPageBreak/>
        <w:t xml:space="preserve">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0C5C67AB"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6.7.8</w:t>
      </w:r>
      <w:r>
        <w:rPr>
          <w:rFonts w:ascii="Arial" w:eastAsia="Arial" w:hAnsi="Arial" w:cs="Arial"/>
          <w:color w:val="000000"/>
          <w:highlight w:val="green"/>
        </w:rPr>
        <w:tab/>
        <w:t>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En tanto dicha normativa no comprenda la información que el SBIA genera, el plazo se fija en el plan de monitoreo del SBIA y no puede ser inferior al exigido por la normativa tributaria y aduanera para la actuación en que el SBIA interviene. Para determinar dicho mínimo, la Comisión de Gobierno de IA convoca a la Intendencia Nacional Jurídico Tributaria o a la Intendencia Nacional Jurídico Aduanera, según la materia. La conservación, el acceso y el uso de dicha información observan la 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5001C09F" w14:textId="77777777" w:rsidR="00931E16" w:rsidRDefault="00931E16" w:rsidP="00AF13D8">
      <w:pPr>
        <w:pStyle w:val="SubtituloDONI"/>
        <w:spacing w:line="276" w:lineRule="auto"/>
        <w:ind w:left="851"/>
      </w:pPr>
      <w:r>
        <w:t>6.8</w:t>
      </w:r>
      <w:r>
        <w:tab/>
        <w:t>De los datos para los SBIA</w:t>
      </w:r>
    </w:p>
    <w:p w14:paraId="6E4761C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437E530D"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6044F210" w14:textId="77777777"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6.8.3</w:t>
      </w:r>
      <w:r>
        <w:rPr>
          <w:rFonts w:ascii="Arial" w:eastAsia="Arial" w:hAnsi="Arial" w:cs="Arial"/>
          <w:color w:val="000000"/>
          <w:highlight w:val="green"/>
        </w:rPr>
        <w:tab/>
        <w:t xml:space="preserve">El uso de datos protegidos por la reserva tributaria para el desarrollo, entrenamiento, validación u operación de un SBIA requiere la determinación previa de su base legal, conforme al artículo 85 del TUO del Código Tributario. </w:t>
      </w:r>
      <w:r>
        <w:rPr>
          <w:rFonts w:ascii="Arial" w:eastAsia="Arial" w:hAnsi="Arial" w:cs="Arial"/>
          <w:color w:val="000000"/>
          <w:highlight w:val="green"/>
        </w:rPr>
        <w:lastRenderedPageBreak/>
        <w:t>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50072F9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B8D320" w14:textId="77777777"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6.8.5</w:t>
      </w:r>
      <w:r>
        <w:rPr>
          <w:rFonts w:ascii="Arial" w:eastAsia="Arial" w:hAnsi="Arial" w:cs="Arial"/>
          <w:color w:val="000000"/>
          <w:highlight w:val="green"/>
        </w:rPr>
        <w:tab/>
        <w:t>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5388395B" w14:textId="77777777"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6.8.6</w:t>
      </w:r>
      <w:r>
        <w:rPr>
          <w:rFonts w:ascii="Arial" w:eastAsia="Arial" w:hAnsi="Arial" w:cs="Arial"/>
          <w:color w:val="000000"/>
          <w:highlight w:val="green"/>
        </w:rPr>
        <w:tab/>
        <w:t>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 En tanto no exista normativa de certificación para la materia, el OGD emite opinión sobre la idoneidad de los conjuntos de datos, conforme al numeral 6.8.2.</w:t>
      </w:r>
    </w:p>
    <w:p w14:paraId="2C0D43E2"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13F1F731" w14:textId="77777777" w:rsidR="00863A18" w:rsidRPr="00923C59" w:rsidRDefault="00863A18" w:rsidP="00B23382">
      <w:pPr>
        <w:pStyle w:val="SubtituloDONI"/>
        <w:spacing w:line="276" w:lineRule="auto"/>
        <w:ind w:left="851"/>
      </w:pPr>
      <w:r>
        <w:t>6.9</w:t>
      </w:r>
      <w:r>
        <w:tab/>
        <w:t>De la transparencia, explicabilidad y rendición de cuentas</w:t>
      </w:r>
    </w:p>
    <w:p w14:paraId="44A4CE38" w14:textId="77777777"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 xml:space="preserve">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w:t>
      </w:r>
      <w:r>
        <w:rPr>
          <w:rFonts w:ascii="Arial" w:eastAsia="Arial" w:hAnsi="Arial" w:cs="Arial"/>
          <w:color w:val="000000"/>
          <w:highlight w:val="yellow"/>
        </w:rPr>
        <w:lastRenderedPageBreak/>
        <w:t>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018815C3"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5CB77E07" w14:textId="77777777" w:rsidR="00836DA1" w:rsidRPr="00E151B6" w:rsidRDefault="00000000" w:rsidP="005060AB">
      <w:pPr>
        <w:spacing w:after="60" w:line="276" w:lineRule="auto"/>
        <w:ind w:left="1276" w:hanging="709"/>
        <w:jc w:val="both"/>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derechos humanos, las personas afectadas tienen derecho a recibir la explicación de los resultados, conforme al numeral 25.3 del artículo 25 del RLIA. La explicación se proporciona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sobre confidencialidad de la información aduanera. Los mecanismos exigibles por tipo de SBIA y el contenido mínimo de la documentación se desarrollan en la metodología prevista en el numeral 6.1.5.</w:t>
      </w:r>
    </w:p>
    <w:p w14:paraId="066AC87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999F83D" w14:textId="77777777"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6.9.5</w:t>
      </w:r>
      <w:r>
        <w:rPr>
          <w:rFonts w:ascii="Arial" w:eastAsia="Arial" w:hAnsi="Arial" w:cs="Arial"/>
          <w:color w:val="000000"/>
          <w:highlight w:val="green"/>
        </w:rPr>
        <w:tab/>
        <w:t>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la actividad de la Comisión de Gobierno de IA y no constituye avance del Plan de Gobierno Digital.</w:t>
      </w:r>
    </w:p>
    <w:p w14:paraId="32D52908"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r>
      <w:r>
        <w:rPr>
          <w:rFonts w:ascii="Arial" w:eastAsia="Arial" w:hAnsi="Arial" w:cs="Arial"/>
          <w:color w:val="000000"/>
          <w:highlight w:val="green"/>
        </w:rPr>
        <w:tab/>
        <w:t>El estado del gobierno de IA institucional se informa como sección del informe de seguimiento del Plan de Gobierno Digital que presenta el CGTD, con la 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3693EED3"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643DE31A" w14:textId="77777777" w:rsidR="00863A18" w:rsidRPr="00923C59" w:rsidRDefault="00863A18" w:rsidP="00B23382">
      <w:pPr>
        <w:pStyle w:val="SubtituloDONI"/>
        <w:spacing w:line="276" w:lineRule="auto"/>
        <w:ind w:left="851"/>
      </w:pPr>
      <w:r>
        <w:t>6.10</w:t>
      </w:r>
      <w:r>
        <w:tab/>
        <w:t>Del monitoreo, auditoría y mejora continua</w:t>
      </w:r>
    </w:p>
    <w:p w14:paraId="353E3D1B" w14:textId="77777777"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r>
      <w:r>
        <w:rPr>
          <w:rFonts w:ascii="Arial" w:eastAsia="Arial" w:hAnsi="Arial" w:cs="Arial"/>
          <w:color w:val="000000"/>
          <w:highlight w:val="green"/>
        </w:rPr>
        <w:tab/>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2FBAF46D"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323FB53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5118D57A" w14:textId="77777777"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0C28DE0"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lastRenderedPageBreak/>
        <w:t>Los criterios de determinación de la frecuencia, los tipos de monitoreo aplicables y su desarrollo operativo se establecen en la metodología prevista en el numeral 6.1.5.</w:t>
      </w:r>
    </w:p>
    <w:p w14:paraId="02C99B14" w14:textId="77777777"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r>
      <w:r>
        <w:rPr>
          <w:rFonts w:ascii="Arial" w:eastAsia="Arial" w:hAnsi="Arial" w:cs="Arial"/>
          <w:color w:val="000000"/>
          <w:highlight w:val="green"/>
        </w:rPr>
        <w:tab/>
        <w:t>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Los umbrales de cada indicador, las alertas que su superación activa y las acciones de tratamiento correspondientes se definen con anterioridad a la puesta en producción del SBIA, conforme a la metodología prevista en el numeral 6.1.5. Tratándose de los indicadores de sesgo, el umbral se define con la opinión de la OII, que se pronuncia sobre los grupos que pueden resultar afectados y sobre la disparidad que resulta inaceptable.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Comisión de Gobierno de IA consolida los resultados y los presenta al CGTD para su evaluación.</w:t>
      </w:r>
    </w:p>
    <w:p w14:paraId="0B4EF36F"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de regresión y de sesgo que correspondan al tipo de SBIA.</w:t>
      </w:r>
    </w:p>
    <w:p w14:paraId="6EDDA065" w14:textId="77777777"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475F46EE" w14:textId="77777777"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w:t>
      </w:r>
      <w:r>
        <w:rPr>
          <w:rFonts w:ascii="Arial" w:hAnsi="Arial" w:cs="Arial"/>
          <w:highlight w:val="lightGray"/>
        </w:rPr>
        <w:tab/>
        <w:t xml:space="preserve">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lo califica como significativo o no </w:t>
      </w:r>
      <w:r>
        <w:rPr>
          <w:rFonts w:ascii="Arial" w:hAnsi="Arial" w:cs="Arial"/>
          <w:highlight w:val="lightGray"/>
        </w:rPr>
        <w:lastRenderedPageBreak/>
        <w:t>conforme al numeral 6.10.5 y lo comunica a la Comisión de Gobierno de IA. La Comisión valida dicha calificación.</w:t>
      </w:r>
    </w:p>
    <w:p w14:paraId="2D30F9F2" w14:textId="77777777"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5</w:t>
      </w:r>
      <w:r>
        <w:rPr>
          <w:rFonts w:ascii="Arial" w:hAnsi="Arial" w:cs="Arial"/>
          <w:highlight w:val="green"/>
        </w:rPr>
        <w:tab/>
        <w:t xml:space="preserve">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4AF17874" w14:textId="77777777" w:rsidR="00975D3B" w:rsidRDefault="00975D3B" w:rsidP="00532CB5">
      <w:pPr>
        <w:spacing w:after="0" w:line="276" w:lineRule="auto"/>
        <w:ind w:left="1276" w:hanging="709"/>
        <w:jc w:val="both"/>
        <w:rPr>
          <w:rFonts w:ascii="Arial" w:hAnsi="Arial" w:cs="Arial"/>
        </w:rPr>
      </w:pPr>
      <w:r>
        <w:rPr>
          <w:rFonts w:ascii="Arial" w:hAnsi="Arial" w:cs="Arial"/>
          <w:highlight w:val="green"/>
        </w:rPr>
        <w:t>6.10.6</w:t>
      </w:r>
      <w:r>
        <w:rPr>
          <w:rFonts w:ascii="Arial" w:hAnsi="Arial" w:cs="Arial"/>
          <w:highlight w:val="green"/>
        </w:rPr>
        <w:tab/>
        <w:t>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2CA6D52E" w14:textId="77777777" w:rsidR="00FC0075" w:rsidRDefault="00FC0075" w:rsidP="00532CB5">
      <w:pPr>
        <w:spacing w:after="0" w:line="276" w:lineRule="auto"/>
        <w:ind w:left="1276" w:hanging="709"/>
        <w:jc w:val="both"/>
        <w:rPr>
          <w:rFonts w:ascii="Arial" w:hAnsi="Arial" w:cs="Arial"/>
        </w:rPr>
      </w:pPr>
    </w:p>
    <w:p w14:paraId="174D13CA" w14:textId="77777777" w:rsidR="00D02E5D" w:rsidRDefault="00D02E5D" w:rsidP="00532CB5">
      <w:pPr>
        <w:spacing w:after="0" w:line="276" w:lineRule="auto"/>
        <w:ind w:left="1276" w:hanging="709"/>
        <w:jc w:val="both"/>
        <w:rPr>
          <w:rFonts w:ascii="Arial" w:hAnsi="Arial" w:cs="Arial"/>
        </w:rPr>
      </w:pPr>
    </w:p>
    <w:p w14:paraId="02FCEA34"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 y ético, de las capacidades y proveedores</w:t>
      </w:r>
    </w:p>
    <w:p w14:paraId="3BB17ABF" w14:textId="77777777" w:rsidR="00863A18" w:rsidRPr="00923C59" w:rsidRDefault="00863A18" w:rsidP="00B23382">
      <w:pPr>
        <w:pStyle w:val="SubtituloDONI"/>
        <w:spacing w:line="276" w:lineRule="auto"/>
        <w:ind w:left="851"/>
      </w:pPr>
      <w:r>
        <w:t>6.11</w:t>
      </w:r>
      <w:r>
        <w:tab/>
        <w:t>Del uso responsable de herramientas de IA</w:t>
      </w:r>
    </w:p>
    <w:p w14:paraId="22BED18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0D78CDE3"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6E7F2686"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1EF5D134"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5767685E"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lastRenderedPageBreak/>
        <w:t>Declarar el uso de IA en la elaboración de informes o documentos con impacto en decisiones administrativas.</w:t>
      </w:r>
    </w:p>
    <w:p w14:paraId="351BCBFF"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066DB40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r>
      <w:r>
        <w:rPr>
          <w:rFonts w:ascii="Arial" w:eastAsia="Arial" w:hAnsi="Arial" w:cs="Arial"/>
          <w:color w:val="000000"/>
          <w:highlight w:val="green"/>
        </w:rPr>
        <w:tab/>
        <w:t>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39A13C53"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r>
      <w:r>
        <w:rPr>
          <w:rFonts w:ascii="Arial" w:eastAsia="Arial" w:hAnsi="Arial" w:cs="Arial"/>
          <w:color w:val="000000"/>
          <w:highlight w:val="green"/>
        </w:rPr>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El despliegue de estos modelos observa, en lo que corresponda, el Procedimiento para el Registro, Control y Retiro de Software de la SUNAT (A-03.3.2-PR-01).</w:t>
      </w:r>
    </w:p>
    <w:p w14:paraId="799421AD" w14:textId="7777777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r>
      <w:r>
        <w:rPr>
          <w:rFonts w:ascii="Arial" w:eastAsia="Arial" w:hAnsi="Arial" w:cs="Arial"/>
          <w:color w:val="000000"/>
          <w:highlight w:val="green"/>
        </w:rPr>
        <w:tab/>
        <w:t>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42DCEEC5" w14:textId="77777777"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w:t>
      </w:r>
      <w:r>
        <w:rPr>
          <w:rFonts w:ascii="Arial" w:hAnsi="Arial" w:cs="Arial"/>
          <w:color w:val="000000"/>
          <w:highlight w:val="cyan"/>
        </w:rPr>
        <w:lastRenderedPageBreak/>
        <w:t xml:space="preserve">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0C0DE66" w14:textId="77777777" w:rsidR="00863A18" w:rsidRPr="00923C59" w:rsidRDefault="00863A18" w:rsidP="00B23382">
      <w:pPr>
        <w:pStyle w:val="SubtituloDONI"/>
        <w:spacing w:line="276" w:lineRule="auto"/>
        <w:ind w:left="851"/>
      </w:pPr>
      <w:r>
        <w:t>6.12</w:t>
      </w:r>
      <w:r>
        <w:tab/>
        <w:t>De la gestión de proveedores de IA</w:t>
      </w:r>
    </w:p>
    <w:p w14:paraId="7220B8EE"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r>
      <w:r>
        <w:rPr>
          <w:rFonts w:ascii="Arial" w:eastAsia="Arial" w:hAnsi="Arial" w:cs="Arial"/>
          <w:color w:val="000000"/>
          <w:highlight w:val="green"/>
        </w:rPr>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6C638668" w14:textId="77777777"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r>
      <w:r>
        <w:rPr>
          <w:rFonts w:ascii="Arial" w:eastAsia="Arial" w:hAnsi="Arial" w:cs="Arial"/>
          <w:color w:val="000000"/>
          <w:highlight w:val="green"/>
        </w:rPr>
        <w:tab/>
        <w:t>La unidad de organización que formula los términos de referencia o las especificaciones técnicas incorpora en ellos las cláusulas que el contrato debe 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41283F0A"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r>
      <w:r>
        <w:rPr>
          <w:rFonts w:ascii="Arial" w:eastAsia="Arial" w:hAnsi="Arial" w:cs="Arial"/>
          <w:color w:val="000000"/>
          <w:highlight w:val="green"/>
        </w:rPr>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400734D4"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r>
      <w:r>
        <w:rPr>
          <w:rFonts w:ascii="Arial" w:eastAsia="Arial" w:hAnsi="Arial" w:cs="Arial"/>
          <w:color w:val="000000"/>
          <w:highlight w:val="green"/>
        </w:rPr>
        <w:tab/>
        <w:t xml:space="preserve">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w:t>
      </w:r>
      <w:r>
        <w:rPr>
          <w:rFonts w:ascii="Arial" w:eastAsia="Arial" w:hAnsi="Arial" w:cs="Arial"/>
          <w:color w:val="000000"/>
          <w:highlight w:val="green"/>
        </w:rPr>
        <w:lastRenderedPageBreak/>
        <w:t>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6F828CD1" w14:textId="77777777"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r>
      <w:r>
        <w:rPr>
          <w:rFonts w:ascii="Arial" w:eastAsia="Arial" w:hAnsi="Arial" w:cs="Arial"/>
          <w:color w:val="000000"/>
          <w:highlight w:val="green"/>
        </w:rPr>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7E612C07" w14:textId="77777777" w:rsidR="00863A18" w:rsidRPr="00641EAF" w:rsidRDefault="00863A18" w:rsidP="00B23382">
      <w:pPr>
        <w:pStyle w:val="SubtituloDONI"/>
        <w:spacing w:line="276" w:lineRule="auto"/>
        <w:ind w:left="851"/>
        <w:rPr>
          <w:highlight w:val="green"/>
        </w:rPr>
      </w:pPr>
      <w:r>
        <w:rPr>
          <w:highlight w:val="green"/>
        </w:rPr>
        <w:t>6.13</w:t>
      </w:r>
      <w:r>
        <w:rPr>
          <w:highlight w:val="green"/>
        </w:rPr>
        <w:tab/>
        <w:t>De la sensibilización, la capacitación y la gestión del cambio</w:t>
      </w:r>
    </w:p>
    <w:p w14:paraId="70E2FD5B"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4F1E6CCA"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w:t>
      </w:r>
      <w:r>
        <w:rPr>
          <w:rFonts w:ascii="Arial" w:eastAsia="Arial" w:hAnsi="Arial" w:cs="Arial"/>
          <w:color w:val="000000"/>
          <w:highlight w:val="lightGray"/>
        </w:rPr>
        <w:tab/>
        <w:t>Sensibilización</w:t>
      </w:r>
    </w:p>
    <w:p w14:paraId="5D406E67" w14:textId="77777777"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BD84A46" w14:textId="77777777"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03A625A4"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finalidad y los principios institucionales aplicables a los SBIA</w:t>
      </w:r>
    </w:p>
    <w:p w14:paraId="17FEBFA0"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Los riesgos derivados de su diseño, desarrollo, implementación y uso.</w:t>
      </w:r>
    </w:p>
    <w:p w14:paraId="230A15B3"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54EF2CD2"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7697685A"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El impacto social y ambiental de los SBIA.</w:t>
      </w:r>
    </w:p>
    <w:p w14:paraId="298B2C66" w14:textId="7777777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Esta disposición desarrolla el principio rector de sensibilización y educación en IA establecido en el literal f) del artículo 7 del RLIA, en concordancia con el numeral 7.3 de la NTP-ISO/IEC 42001:2025.</w:t>
      </w:r>
    </w:p>
    <w:p w14:paraId="5B330784"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w:t>
      </w:r>
      <w:r>
        <w:rPr>
          <w:rFonts w:ascii="Arial" w:eastAsia="Arial" w:hAnsi="Arial" w:cs="Arial"/>
          <w:color w:val="000000"/>
          <w:highlight w:val="lightGray"/>
        </w:rPr>
        <w:tab/>
        <w:t>Capacitación y fortalecimiento de capacidades</w:t>
      </w:r>
    </w:p>
    <w:p w14:paraId="4FB43136"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4ED0D1C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lastRenderedPageBreak/>
        <w:t>Las necesidades de capacitación asociadas a los distintos roles, los contenidos formativos, las modalidades de capacitación y los mecanismos de evaluación de resultados se determinan en el marco normativo del Plan de Desarrollo de las Personas. La Intendencia Nacional de Recursos Humanos las incorpora en dicho instrumento a propuesta de la Comisión de Gobierno de IA. En tanto no se incorporen, las acciones formativas en materia de IA se ejecutan conforme al presente numeral.</w:t>
      </w:r>
    </w:p>
    <w:p w14:paraId="3C0CFECF"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59982F87"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Los fundamentos y el ciclo de vida de los SBIA.</w:t>
      </w:r>
    </w:p>
    <w:p w14:paraId="3E643033" w14:textId="42A966C2"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los riesgos de IA.</w:t>
      </w:r>
    </w:p>
    <w:p w14:paraId="2499EC6C"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400FA12F"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32A75986"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59222E2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 disposición se implementa conforme al numeral 28.5 del artículo 28 del RLIA y en concordancia con el numeral 7.2 y el Anexo A.4 de la NTP</w:t>
      </w:r>
      <w:r>
        <w:rPr>
          <w:rFonts w:ascii="Arial" w:eastAsia="Arial" w:hAnsi="Arial" w:cs="Arial"/>
          <w:color w:val="000000"/>
          <w:highlight w:val="lightGray"/>
        </w:rPr>
        <w:noBreakHyphen/>
        <w:t>ISO/IEC 42001:2025.</w:t>
      </w:r>
    </w:p>
    <w:p w14:paraId="0F51DBD9"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w:t>
      </w:r>
      <w:r>
        <w:rPr>
          <w:rFonts w:ascii="Arial" w:eastAsia="Arial" w:hAnsi="Arial" w:cs="Arial"/>
          <w:color w:val="000000"/>
          <w:highlight w:val="lightGray"/>
        </w:rPr>
        <w:tab/>
        <w:t>Gestión del cambio</w:t>
      </w:r>
    </w:p>
    <w:p w14:paraId="526BDE76"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0F422B6A"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78882D1D"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1B37A6CD"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observa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4106C44A" w14:textId="77777777"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w:t>
      </w:r>
      <w:r>
        <w:rPr>
          <w:rFonts w:ascii="Arial" w:eastAsia="Arial" w:hAnsi="Arial" w:cs="Arial"/>
          <w:color w:val="000000"/>
          <w:highlight w:val="green"/>
        </w:rPr>
        <w:lastRenderedPageBreak/>
        <w:t xml:space="preserve">recomendaciones internacionales y los principios éticos de la Organización para la Cooperación y el Desarrollo Económico (OCDE) en materia de inteligencia artificial, conforme al numeral 28.9 del artículo 28 del RLIA.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Esta disposición desarrolla el numeral 28.9 del artículo 28 del RLIA.</w:t>
      </w:r>
    </w:p>
    <w:p w14:paraId="3BA51F1A"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2"/>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48A70894" w14:textId="77777777" w:rsidR="00326739" w:rsidRDefault="00326739" w:rsidP="002D136C">
      <w:pPr>
        <w:pStyle w:val="SubtituloDONI"/>
        <w:spacing w:line="276" w:lineRule="auto"/>
        <w:ind w:left="851"/>
        <w:rPr>
          <w:highlight w:val="lightGray"/>
        </w:rPr>
      </w:pPr>
      <w:r>
        <w:rPr>
          <w:highlight w:val="lightGray"/>
        </w:rPr>
        <w:t>6.15</w:t>
      </w:r>
      <w:r>
        <w:rPr>
          <w:highlight w:val="lightGray"/>
        </w:rPr>
        <w:tab/>
        <w:t>De la articulación con la formulación de iniciativas, proyectos e inversiones</w:t>
      </w:r>
    </w:p>
    <w:p w14:paraId="4B00F154"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7E36FC01" w14:textId="77777777"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w:t>
      </w:r>
      <w:r>
        <w:rPr>
          <w:rFonts w:ascii="Arial" w:hAnsi="Arial" w:cs="Arial"/>
          <w:highlight w:val="green"/>
        </w:rPr>
        <w:tab/>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prioridad ni la viabilidad presupuestal de la iniciativa, que corresponden a los instrumentos de gestión respectivos y a las instancias competentes. La opinión adopta uno de los siguientes pronunciamientos:</w:t>
      </w:r>
    </w:p>
    <w:p w14:paraId="1E6EA010" w14:textId="77777777"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14FF364B" w14:textId="77777777"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Favorable con condiciones, que identifica los controles que corresponden conforme al numeral 6.2.5 y cuya implementación se verifica en la etapa 5 del numeral 6.1.1. Los SBIA clasificados de riesgo alto reciben este pronunciamiento.</w:t>
      </w:r>
    </w:p>
    <w:p w14:paraId="1DD2A2BB" w14:textId="77777777"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 xml:space="preserve">No favorable, cuando el uso es indebido conforme al artículo 23 del RLIA, contraviene la Política de IA o la normativa vigente, o el resultado esperado </w:t>
      </w:r>
      <w:r>
        <w:rPr>
          <w:b w:val="0"/>
          <w:bCs w:val="0"/>
          <w:highlight w:val="green"/>
        </w:rPr>
        <w:lastRenderedPageBreak/>
        <w:t>se alcanza sin inteligencia artificial. En este último caso la iniciativa puede continuar sin el componente de IA.</w:t>
      </w:r>
    </w:p>
    <w:p w14:paraId="34B99E5A" w14:textId="77777777"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6.15.2</w:t>
      </w:r>
      <w:r>
        <w:rPr>
          <w:rFonts w:ascii="Arial" w:hAnsi="Arial" w:cs="Arial"/>
          <w:highlight w:val="green"/>
        </w:rPr>
        <w:tab/>
        <w:t>El uso indebido está prohibido por el artículo 23 del RLIA y el sometimiento de los SBIA de riesgo alto a condiciones y controles es obligatorio conforme al literal b) del numeral 22.1 del artículo 22 del RLIA, a sus artículos 25, 29 y 30 y al numeral 28.11 de su artículo 28: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4FFCA1EF" w14:textId="77777777"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6.15.3</w:t>
      </w:r>
      <w:r>
        <w:rPr>
          <w:rFonts w:ascii="Arial" w:hAnsi="Arial" w:cs="Arial"/>
          <w:highlight w:val="lightGray"/>
        </w:rPr>
        <w:tab/>
        <w:t>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29DD335B" w14:textId="77777777"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6.15.4</w:t>
      </w:r>
      <w:r>
        <w:rPr>
          <w:rFonts w:ascii="Arial" w:hAnsi="Arial" w:cs="Arial"/>
          <w:highlight w:val="green"/>
        </w:rPr>
        <w:tab/>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2607E242" w14:textId="77777777"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177FBA4C"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1A1AB18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D1A540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46174ACB"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069D1FF2" w14:textId="77777777"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6.15.5</w:t>
      </w:r>
      <w:r>
        <w:rPr>
          <w:rFonts w:ascii="Arial" w:hAnsi="Arial" w:cs="Arial"/>
          <w:highlight w:val="lightGray"/>
        </w:rPr>
        <w:tab/>
        <w:t>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54DF445B" w14:textId="77777777" w:rsidR="00670027" w:rsidRDefault="00326739" w:rsidP="00EF2B54">
      <w:pPr>
        <w:spacing w:after="60" w:line="276" w:lineRule="auto"/>
        <w:ind w:left="1276" w:hanging="709"/>
        <w:jc w:val="both"/>
        <w:rPr>
          <w:rFonts w:ascii="Arial" w:hAnsi="Arial" w:cs="Arial"/>
        </w:rPr>
      </w:pPr>
      <w:r>
        <w:rPr>
          <w:rFonts w:ascii="Arial" w:hAnsi="Arial" w:cs="Arial"/>
          <w:highlight w:val="green"/>
        </w:rPr>
        <w:t>6.15.6</w:t>
      </w:r>
      <w:r>
        <w:rPr>
          <w:rFonts w:ascii="Arial" w:hAnsi="Arial" w:cs="Arial"/>
          <w:highlight w:val="green"/>
        </w:rPr>
        <w:tab/>
        <w:t xml:space="preserve">Las unidades de organización competentes de cada instrumento de gestión incorporan en sus documentos normativos la verificación del componente de IA y la opinión de la Comisión de Gobierno de IA, conforme al numeral 7.6. Esta </w:t>
      </w:r>
      <w:r>
        <w:rPr>
          <w:rFonts w:ascii="Arial" w:hAnsi="Arial" w:cs="Arial"/>
          <w:highlight w:val="green"/>
        </w:rPr>
        <w:lastRenderedPageBreak/>
        <w:t>incorporación alcanza al Modelo de Gobernabilidad de Programas y Proyectos y a la gestión de la demanda informática. La presente directiva no sustituye dichos instrumentos.</w:t>
      </w:r>
    </w:p>
    <w:p w14:paraId="144E2ECD" w14:textId="77777777"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6.15.7</w:t>
      </w:r>
      <w:r>
        <w:rPr>
          <w:rFonts w:ascii="Arial" w:hAnsi="Arial" w:cs="Arial"/>
          <w:highlight w:val="lightGray"/>
        </w:rPr>
        <w:tab/>
        <w:t>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institucional de gobernanza de datos y analítica. En tanto dicha normativa no se apruebe, esas materias se rigen por el numeral 6.8 de la presente directiva.</w:t>
      </w:r>
      <w:r>
        <w:rPr>
          <w:rFonts w:ascii="Arial" w:hAnsi="Arial" w:cs="Arial"/>
        </w:rPr>
        <w:br w:type="page"/>
      </w:r>
    </w:p>
    <w:p w14:paraId="16663CDA"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lastRenderedPageBreak/>
        <w:t>6.15.8</w:t>
      </w:r>
      <w:r>
        <w:rPr>
          <w:rFonts w:ascii="Arial" w:hAnsi="Arial" w:cs="Arial"/>
          <w:highlight w:val="green"/>
        </w:rPr>
        <w:tab/>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6B392A85"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6.15.9</w:t>
      </w:r>
      <w:r>
        <w:rPr>
          <w:rFonts w:ascii="Arial" w:hAnsi="Arial" w:cs="Arial"/>
          <w:highlight w:val="green"/>
        </w:rPr>
        <w:tab/>
        <w:t>Cuando se requiera sustentar la opinión de la Comisión ante el Comité de Proyecto, concurre a la sesión el Coordinador de la Comisión de Gobierno de IA o el miembro que esta designe. Su concurrencia no altera la composición ni las competencias del Comité de Proyecto.</w:t>
      </w:r>
    </w:p>
    <w:p w14:paraId="0B211A6B" w14:textId="77777777"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6.15.10</w:t>
      </w:r>
      <w:r>
        <w:rPr>
          <w:rFonts w:ascii="Arial" w:hAnsi="Arial" w:cs="Arial"/>
          <w:highlight w:val="green"/>
        </w:rPr>
        <w:tab/>
        <w:t>La unidad de organización competente del MGPP incorpora en dicho instrumento el momento y la instancia ante la que se recaba la opinión, conforme al numeral 7.6.</w:t>
      </w:r>
    </w:p>
    <w:p w14:paraId="0FFF3625"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t>DISPOSICIONES FINALES</w:t>
      </w:r>
      <w:bookmarkEnd w:id="7"/>
    </w:p>
    <w:p w14:paraId="4CCCD08E"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6869AA61"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38BA406D"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5C4672BB" w14:textId="77777777" w:rsidR="00CB040E" w:rsidRPr="0094125C" w:rsidRDefault="00CB040E" w:rsidP="00180A95">
      <w:pPr>
        <w:pStyle w:val="SubtituloDONI"/>
        <w:spacing w:line="276" w:lineRule="auto"/>
        <w:ind w:left="851"/>
        <w:rPr>
          <w:b w:val="0"/>
          <w:bCs w:val="0"/>
          <w:highlight w:val="green"/>
        </w:rPr>
      </w:pPr>
      <w:r>
        <w:rPr>
          <w:b w:val="0"/>
          <w:bCs w:val="0"/>
          <w:highlight w:val="green"/>
        </w:rPr>
        <w:t>7.4</w:t>
      </w:r>
      <w:r>
        <w:rPr>
          <w:b w:val="0"/>
          <w:bCs w:val="0"/>
          <w:highlight w:val="green"/>
        </w:rPr>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r>
        <w:rPr>
          <w:b w:val="0"/>
          <w:bCs w:val="0"/>
        </w:rPr>
        <w:t xml:space="preserve"> Las Normas Técnicas Peruanas que apruebe el Instituto Nacional de Calidad en el marco de la línea de acción 3.2 de la ENIA se toman como referencia en los documentos normativos del numeral 7.6. La Comisión de Gobierno de IA evalúa su impacto en la presente directiva y propone al CGTD los ajustes que correspondan.</w:t>
      </w:r>
    </w:p>
    <w:p w14:paraId="15AC67AC"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1211EF01" w14:textId="77777777" w:rsidR="00836DA1" w:rsidRDefault="00000000">
      <w:pPr>
        <w:pStyle w:val="SubtituloDONI"/>
        <w:spacing w:line="276" w:lineRule="auto"/>
        <w:ind w:left="851"/>
        <w:rPr>
          <w:b w:val="0"/>
          <w:bCs w:val="0"/>
        </w:rPr>
      </w:pPr>
      <w:r>
        <w:rPr>
          <w:b w:val="0"/>
          <w:bCs w:val="0"/>
          <w:color w:val="000000"/>
          <w:highlight w:val="green"/>
        </w:rPr>
        <w:lastRenderedPageBreak/>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550AB1B5"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16505D60" w14:textId="77777777" w:rsidR="0018147B" w:rsidRDefault="00000000">
      <w:pPr>
        <w:pStyle w:val="SubtituloDONI"/>
        <w:spacing w:line="276" w:lineRule="auto"/>
        <w:ind w:left="851"/>
        <w:rPr>
          <w:b w:val="0"/>
          <w:bCs w:val="0"/>
        </w:rPr>
      </w:pPr>
      <w:r>
        <w:rPr>
          <w:b w:val="0"/>
          <w:bCs w:val="0"/>
        </w:rPr>
        <w:t>7.8</w:t>
      </w:r>
      <w:r>
        <w:rPr>
          <w:b w:val="0"/>
          <w:bCs w:val="0"/>
        </w:rPr>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241ADF94" w14:textId="77777777" w:rsidR="0018147B" w:rsidRDefault="00000000" w:rsidP="00174519">
      <w:pPr>
        <w:pStyle w:val="SubtituloDONI"/>
        <w:spacing w:line="276" w:lineRule="auto"/>
        <w:ind w:left="851"/>
        <w:rPr>
          <w:b w:val="0"/>
          <w:bCs w:val="0"/>
        </w:rPr>
      </w:pPr>
      <w:r>
        <w:rPr>
          <w:b w:val="0"/>
          <w:bCs w:val="0"/>
          <w:highlight w:val="green"/>
        </w:rPr>
        <w:t>7.9</w:t>
      </w:r>
      <w:r>
        <w:rPr>
          <w:b w:val="0"/>
          <w:bCs w:val="0"/>
          <w:highlight w:val="green"/>
        </w:rPr>
        <w:tab/>
        <w:t>El detalle de aplicación de los Anexos (los formatos, los criterios de registro, los catálogos de valores y los indicadores operativos, así como los campos adicionales que resulten necesarios) se establece en los documentos normativos institucionales de menor rango previstos en el numeral 7.6, que las unidades competentes actualizan sin requerir la modificación de la presente directiva. Dichos documentos no suprimen ni reducen los campos ni los contenidos mínimos que los Anexos establecen.</w:t>
      </w:r>
    </w:p>
    <w:p w14:paraId="35FFF0FB" w14:textId="4C5D935E"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 en aplicación de la Primera Disposición Complementaria Final de la citada Resolución Ministerial. </w:t>
      </w:r>
      <w:r w:rsidR="0012096A" w:rsidRPr="0012096A">
        <w:rPr>
          <w:b w:val="0"/>
          <w:bCs w:val="0"/>
          <w:highlight w:val="green"/>
        </w:rPr>
        <w:t>En tanto no se designe al OIA, el Coordinador designado conforme al numeral 7.3 ejerce las funciones de coordinación técnica en materia de IA.</w:t>
      </w:r>
      <w:r w:rsidR="0012096A">
        <w:rPr>
          <w:b w:val="0"/>
          <w:bCs w:val="0"/>
        </w:rPr>
        <w:t xml:space="preserve"> </w:t>
      </w:r>
      <w:r>
        <w:rPr>
          <w:b w:val="0"/>
          <w:bCs w:val="0"/>
          <w:highlight w:val="green"/>
        </w:rPr>
        <w:t xml:space="preserve">Designado el OIA, la coordinación de la Comisión de Gobierno de IA recae en él, salvo que los lineamientos de la SGTD </w:t>
      </w:r>
      <w:r>
        <w:rPr>
          <w:b w:val="0"/>
          <w:bCs w:val="0"/>
          <w:highlight w:val="green"/>
        </w:rPr>
        <w:lastRenderedPageBreak/>
        <w:t>dispongan una articulación distinta. La Comisión de Gobierno de IA evalúa su articulación conforme a dichos lineamientos y propone al CGTD los ajustes que correspondan.</w:t>
      </w:r>
      <w:r>
        <w:rPr>
          <w:b w:val="0"/>
          <w:bCs w:val="0"/>
        </w:rPr>
        <w:t xml:space="preserve"> El OIA ejerce sus funciones en el ámbito de sus competencias técnicas, sin asumir responsabilidad por las decisiones de gestión institucional que corresponden a los órganos competentes. Así lo establece el numeral 6.6 del artículo 6 de la citada Resolución Ministerial.</w:t>
      </w:r>
    </w:p>
    <w:p w14:paraId="36CC9A36"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6244D8F7" w14:textId="77777777" w:rsidR="002555BF" w:rsidRPr="002555BF" w:rsidRDefault="002555BF" w:rsidP="002555BF">
      <w:pPr>
        <w:pStyle w:val="SubtituloDONI"/>
        <w:spacing w:line="276" w:lineRule="auto"/>
        <w:ind w:left="851"/>
        <w:rPr>
          <w:b w:val="0"/>
          <w:bCs w:val="0"/>
          <w:highlight w:val="green"/>
        </w:rPr>
      </w:pPr>
      <w:r>
        <w:rPr>
          <w:b w:val="0"/>
          <w:bCs w:val="0"/>
          <w:highlight w:val="green"/>
        </w:rPr>
        <w:t>7.12</w:t>
      </w:r>
      <w:r>
        <w:rPr>
          <w:b w:val="0"/>
          <w:bCs w:val="0"/>
          <w:highlight w:val="green"/>
        </w:rPr>
        <w:tab/>
        <w:t>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6446349" w14:textId="60A808A8" w:rsidR="00B10861" w:rsidRDefault="00000000">
      <w:pPr>
        <w:pStyle w:val="SubtituloDONI"/>
        <w:spacing w:line="276" w:lineRule="auto"/>
        <w:ind w:left="851"/>
        <w:rPr>
          <w:b w:val="0"/>
          <w:bCs w:val="0"/>
        </w:rPr>
      </w:pPr>
      <w:r>
        <w:rPr>
          <w:b w:val="0"/>
          <w:bCs w:val="0"/>
        </w:rPr>
        <w:t>7.13</w:t>
      </w:r>
      <w:r>
        <w:rPr>
          <w:b w:val="0"/>
          <w:bCs w:val="0"/>
        </w:rPr>
        <w:tab/>
      </w:r>
      <w:r w:rsidR="00E41A15" w:rsidRPr="00E41A15">
        <w:rPr>
          <w:b w:val="0"/>
          <w:bCs w:val="0"/>
        </w:rPr>
        <w:t>El OIA reporta trimestralmente al CGTD el seguimiento de la implementación del PAIA, conforme al numeral 8.3 del artículo 8 de la Resolución Ministerial N.° 152-2026-PCM. Dicho reporte se integra al informe trimestral de gobierno de IA previsto en el numeral 6.9.5. Asimismo, el OIA registra los avances de la implementación del PAIA en la Plataforma de Cumplimiento Digital, en el último trimestre de cada año, conforme al numeral 8.4 del mismo artículo.</w:t>
      </w:r>
    </w:p>
    <w:p w14:paraId="08A19C0C"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AEC388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13404C9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24C5DD6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55CC390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16B55FC6" w14:textId="77777777" w:rsidR="00863A18" w:rsidRPr="00923C59" w:rsidRDefault="004F49BB" w:rsidP="0029383A">
      <w:pPr>
        <w:spacing w:line="276" w:lineRule="auto"/>
        <w:rPr>
          <w:rFonts w:ascii="Arial" w:hAnsi="Arial" w:cs="Arial"/>
        </w:rPr>
      </w:pPr>
      <w:r>
        <w:rPr>
          <w:rFonts w:ascii="Arial" w:eastAsia="Arial" w:hAnsi="Arial" w:cs="Arial"/>
          <w:b/>
          <w:bCs/>
          <w:color w:val="000000"/>
        </w:rPr>
        <w:br w:type="page"/>
      </w:r>
      <w:r>
        <w:rPr>
          <w:rFonts w:ascii="Arial" w:eastAsia="Arial" w:hAnsi="Arial" w:cs="Arial"/>
          <w:b/>
          <w:bCs/>
          <w:color w:val="000000"/>
        </w:rPr>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7E4899D7"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727DD4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F620A3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F2FF7F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5930530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42C883"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1329BA"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3479C5"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6C6FEAF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F2DC8"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BC287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6A7DFC"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0647717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5C4F9"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2439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90953"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067FA68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D8EAE5"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B85F6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3006C0"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036C98B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254EE7"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50F26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6FFDE9" w14:textId="77777777"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0751CBB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2C038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90BB8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76B6DC"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3F5BD96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013BB7"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5CC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6D90E2"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5C1E514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B06A89"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3D7F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B21D63"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5D662A" w14:paraId="460EAA8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1FE39"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227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69B9ED"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33DA764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B14A46"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7B26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851DF0"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7F0DC99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F83F75"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A7582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ED922E"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53318BF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FBD915"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C3E70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83B132"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18066E4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D3D43B"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81B02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098E4"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 con la versión vigente y la fecha de sus actualizaciones conforme a los numerales 6.4.3 y 6.10.5.</w:t>
            </w:r>
          </w:p>
        </w:tc>
      </w:tr>
      <w:tr w:rsidR="00863A18" w:rsidRPr="00923C59" w14:paraId="59EDE1C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C12841"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3221A1"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40D310"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64E41F2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FB8EC0"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lastRenderedPageBreak/>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00E19"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D7AF"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75F39F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8B0491"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ADE67"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730A4F"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4151A4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3F743A"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5A913C"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82A587"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2300DE9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9D5D99" w14:textId="77777777"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C8794" w14:textId="77777777" w:rsidR="00206379" w:rsidRDefault="00206379" w:rsidP="00B23382">
            <w:pPr>
              <w:spacing w:before="20" w:after="20" w:line="276" w:lineRule="auto"/>
              <w:rPr>
                <w:rFonts w:ascii="Arial" w:eastAsia="Arial" w:hAnsi="Arial" w:cs="Arial"/>
                <w:b/>
                <w:bCs/>
              </w:rPr>
            </w:pPr>
            <w:r>
              <w:rPr>
                <w:rFonts w:ascii="Arial" w:eastAsia="Arial" w:hAnsi="Arial" w:cs="Arial"/>
                <w:b/>
                <w:bCs/>
              </w:rPr>
              <w:t>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A202A" w14:textId="77777777"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883307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6775C8"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1E6554" w14:textId="77777777"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22221B"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se efectúa en la etapa 5 del numeral 6.1.1, con anterioridad al despliegue.</w:t>
            </w:r>
          </w:p>
        </w:tc>
      </w:tr>
      <w:tr w:rsidR="002B0710" w:rsidRPr="00923C59" w14:paraId="484C475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60F3B"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E31C69" w14:textId="77777777"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590AE"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3F55A2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58BBA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24C0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EA80A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los numerales 6.5.7 y 6.5.8, fecha en que se efectuó y, cuando el código no resulte publicable, la justificación legal de la restricción.</w:t>
            </w:r>
          </w:p>
        </w:tc>
      </w:tr>
      <w:tr w:rsidR="002B0710" w:rsidRPr="00923C59" w14:paraId="77D1652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55D439"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B6F2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A389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20F00B8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23382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2F0577"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F18E61"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7FD0F90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F66633"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BB828E"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C34C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45AE331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ED5EE1"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lastRenderedPageBreak/>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5D842D"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A493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66B79BF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EA8678"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357B4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C6B91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7EAC3D3F"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E65EAB"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A92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53A9F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30B695E5" w14:textId="77777777" w:rsidR="00863A18" w:rsidRPr="00923C59" w:rsidRDefault="00863A18" w:rsidP="00B23382">
      <w:pPr>
        <w:spacing w:line="276" w:lineRule="auto"/>
        <w:rPr>
          <w:rFonts w:ascii="Arial" w:hAnsi="Arial" w:cs="Arial"/>
        </w:rPr>
      </w:pPr>
      <w:r>
        <w:rPr>
          <w:rFonts w:ascii="Arial" w:hAnsi="Arial" w:cs="Arial"/>
        </w:rPr>
        <w:br w:type="page"/>
      </w:r>
    </w:p>
    <w:p w14:paraId="67A13D5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2FBB39ED"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3CAA1496"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74A17D22"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49003"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275B4E8" w14:textId="77777777" w:rsidR="003E2526" w:rsidRDefault="003E2526">
            <w:pPr>
              <w:spacing w:before="20" w:after="20" w:line="276" w:lineRule="auto"/>
              <w:rPr>
                <w:rFonts w:ascii="Arial" w:hAnsi="Arial" w:cs="Arial"/>
              </w:rPr>
            </w:pPr>
            <w:r>
              <w:rPr>
                <w:rFonts w:ascii="Arial" w:eastAsia="Arial" w:hAnsi="Arial" w:cs="Arial"/>
                <w:b/>
                <w:bCs/>
                <w:highlight w:val="yellow"/>
              </w:rPr>
              <w:t>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8A9FEC1"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C9ED6C0"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4CDB3F81"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4A651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4A77A" w14:textId="77777777"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69CCDC"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4F016"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3C34B4D2"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00498"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5CEEB1" w14:textId="77777777"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DF45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D360C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22EE92AE"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99FCD"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444834" w14:textId="77777777"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92A65E"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0535D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174ED51F"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DEB70"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DF371" w14:textId="77777777"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310208"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27A76E"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2D8CC03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52B58B"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0B6092" w14:textId="77777777"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4C164"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F904"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0BB67C1C" w14:textId="77777777" w:rsidR="00863A18" w:rsidRPr="00923C59" w:rsidRDefault="00863A18" w:rsidP="00B23382">
      <w:pPr>
        <w:spacing w:line="276" w:lineRule="auto"/>
        <w:rPr>
          <w:rFonts w:ascii="Arial" w:hAnsi="Arial" w:cs="Arial"/>
        </w:rPr>
      </w:pPr>
      <w:r>
        <w:rPr>
          <w:rFonts w:ascii="Arial" w:hAnsi="Arial" w:cs="Arial"/>
        </w:rPr>
        <w:br w:type="page"/>
      </w:r>
    </w:p>
    <w:p w14:paraId="72C40341"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4BDC09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5E920A9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23AD235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44327ED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60384EE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6B37BD1F"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545F39D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643B80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9BC43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2671942A"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6E4DE4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D3F1DE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RLIA, protección de datos personales y reserva tributaria.</w:t>
      </w:r>
    </w:p>
    <w:p w14:paraId="396AF7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57A4742F"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B0A14C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2CCAF63F" w14:textId="77777777"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0155A954"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4DB835" w14:textId="77777777" w:rsidR="00174519" w:rsidRPr="00923C59" w:rsidRDefault="00174519" w:rsidP="00174519">
      <w:pPr>
        <w:spacing w:before="200" w:after="120" w:line="276" w:lineRule="auto"/>
        <w:jc w:val="both"/>
        <w:rPr>
          <w:rFonts w:ascii="Arial" w:hAnsi="Arial" w:cs="Arial"/>
        </w:rPr>
      </w:pPr>
      <w:r>
        <w:rPr>
          <w:rFonts w:ascii="Arial" w:hAnsi="Arial" w:cs="Arial"/>
          <w:highlight w:val="green"/>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16A0A80B"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2C5B6452"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49246BB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154521B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82B92A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AA689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41F5FC78"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14E362EF"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2572E68" w14:textId="77777777"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2 — Necesidad y pertinencia del uso de IA:</w:t>
      </w:r>
    </w:p>
    <w:p w14:paraId="159C45D8"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27301EE6"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Alternativa sin inteligencia artificial: describir la solución basada en reglas, automatización o análisis convencional que se evaluó, y por qué no satisface la necesidad.</w:t>
      </w:r>
    </w:p>
    <w:p w14:paraId="7C1E369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2E2050C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28C80F74"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Costo de gobernanza previsto (monitoreo, reentrenamiento, supervisión humana y evaluación periódica) y por qué la mejora esperada lo justifica.</w:t>
      </w:r>
    </w:p>
    <w:p w14:paraId="1E05A63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9C653FC"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Sección 3 — Descripción funcional y autonomía:</w:t>
      </w:r>
    </w:p>
    <w:p w14:paraId="2890D9BE"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57FE16C7"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49BCB871"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7FCB35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64783CAF" w14:textId="77777777" w:rsid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Punto del proceso en que interviene el SBIA y momento en que un funcionario conoce su resultado.</w:t>
      </w:r>
    </w:p>
    <w:p w14:paraId="438CE5F0" w14:textId="77777777" w:rsidR="00E41A15" w:rsidRDefault="00E41A15" w:rsidP="00E41A15">
      <w:pPr>
        <w:spacing w:before="120" w:after="40" w:line="276" w:lineRule="auto"/>
        <w:rPr>
          <w:color w:val="000000"/>
          <w:highlight w:val="green"/>
        </w:rPr>
      </w:pPr>
    </w:p>
    <w:p w14:paraId="5C0EFD84" w14:textId="77777777" w:rsidR="00E41A15" w:rsidRPr="00E41A15" w:rsidRDefault="00E41A15" w:rsidP="00E41A15">
      <w:pPr>
        <w:spacing w:before="120" w:after="40" w:line="276" w:lineRule="auto"/>
        <w:rPr>
          <w:color w:val="000000"/>
          <w:highlight w:val="green"/>
        </w:rPr>
      </w:pPr>
    </w:p>
    <w:p w14:paraId="73BCF4FD" w14:textId="77777777"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lastRenderedPageBreak/>
        <w:t>Sección 4 — Datos:</w:t>
      </w:r>
    </w:p>
    <w:p w14:paraId="330F91EF"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Datos requeridos: fuentes, tipos y presencia de datos personales, de datos sensibles, de datos biométricos o de información sujeta a reserva tributaria.</w:t>
      </w:r>
    </w:p>
    <w:p w14:paraId="775E59C2"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79A662CE" w14:textId="77777777"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7F29786F" w14:textId="77777777"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5 — Efecto sobre las personas y los procesos:</w:t>
      </w:r>
    </w:p>
    <w:p w14:paraId="74FE4769"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Efecto del resultado del SBIA en derechos, obligaciones o en la atención de los administrados.</w:t>
      </w:r>
    </w:p>
    <w:p w14:paraId="5A06888B"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7B13102"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73B204DF"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F71D57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Clasificación de riesgo preliminar sugerida por el propietario del caso de uso conforme al Anexo N.° 2. Es referencial y no vincula a la Comisión de Gobierno de IA.</w:t>
      </w:r>
    </w:p>
    <w:p w14:paraId="1D17638B" w14:textId="7777777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Sección 6 — Firmas:</w:t>
      </w:r>
    </w:p>
    <w:p w14:paraId="25528425"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69A43F34" w14:textId="77777777"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5D199DD5" w14:textId="77777777"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99EC3" w14:textId="77777777" w:rsidR="001F610C" w:rsidRDefault="001F610C">
      <w:pPr>
        <w:spacing w:after="0" w:line="240" w:lineRule="auto"/>
      </w:pPr>
      <w:r>
        <w:separator/>
      </w:r>
    </w:p>
  </w:endnote>
  <w:endnote w:type="continuationSeparator" w:id="0">
    <w:p w14:paraId="4578CBF2" w14:textId="77777777" w:rsidR="001F610C" w:rsidRDefault="001F61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387CF"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4A5D3" w14:textId="77777777" w:rsidR="001F610C" w:rsidRDefault="001F610C">
      <w:pPr>
        <w:spacing w:after="0" w:line="240" w:lineRule="auto"/>
      </w:pPr>
      <w:r>
        <w:separator/>
      </w:r>
    </w:p>
  </w:footnote>
  <w:footnote w:type="continuationSeparator" w:id="0">
    <w:p w14:paraId="5EDAD777" w14:textId="77777777" w:rsidR="001F610C" w:rsidRDefault="001F610C">
      <w:pPr>
        <w:spacing w:after="0" w:line="240" w:lineRule="auto"/>
      </w:pPr>
      <w:r>
        <w:continuationSeparator/>
      </w:r>
    </w:p>
  </w:footnote>
  <w:footnote w:id="1">
    <w:p w14:paraId="7B7C9986"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761AA10A"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76A0E41B"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155BDA2B"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FCD6EE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2542A2"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3B79EDBC"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4FA21791"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186F0074"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75710F65"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0D688ACF"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7EA1D713"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18CA3765" w14:textId="77777777" w:rsidTr="00BE16A3">
      <w:trPr>
        <w:trHeight w:val="474"/>
        <w:jc w:val="right"/>
      </w:trPr>
      <w:tc>
        <w:tcPr>
          <w:tcW w:w="4492" w:type="pct"/>
          <w:tcBorders>
            <w:right w:val="single" w:sz="6" w:space="0" w:color="000000"/>
          </w:tcBorders>
        </w:tcPr>
        <w:p w14:paraId="0DB6E896"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3D058B9F"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0BBCEFF"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1298561635">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1298561635">
    <w:abstractNumId w:val="8"/>
  </w:num>
  <w:num w:numId="36" w16cid:durableId="955452418">
    <w:abstractNumId w:val="30"/>
  </w:num>
  <w:num w:numId="37" w16cid:durableId="856163588">
    <w:abstractNumId w:val="6"/>
  </w:num>
  <w:num w:numId="38" w16cid:durableId="1298561635">
    <w:abstractNumId w:val="18"/>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ctiveWritingStyle w:appName="MSWord" w:lang="es-PE" w:vendorID="64" w:dllVersion="0" w:nlCheck="1" w:checkStyle="0"/>
  <w:activeWritingStyle w:appName="MSWord" w:lang="en-US" w:vendorID="64" w:dllVersion="0" w:nlCheck="1" w:checkStyle="0"/>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096A"/>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1F610C"/>
    <w:rsid w:val="00206379"/>
    <w:rsid w:val="002073F3"/>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2860"/>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5FB3"/>
    <w:rsid w:val="00567233"/>
    <w:rsid w:val="00567C78"/>
    <w:rsid w:val="00570612"/>
    <w:rsid w:val="00577C4C"/>
    <w:rsid w:val="005823E6"/>
    <w:rsid w:val="00590BAB"/>
    <w:rsid w:val="00594919"/>
    <w:rsid w:val="005B30EE"/>
    <w:rsid w:val="005B3F5B"/>
    <w:rsid w:val="005C21BA"/>
    <w:rsid w:val="005C3A70"/>
    <w:rsid w:val="005C4042"/>
    <w:rsid w:val="005C67EA"/>
    <w:rsid w:val="005D216F"/>
    <w:rsid w:val="005D5880"/>
    <w:rsid w:val="005D662A"/>
    <w:rsid w:val="005D754C"/>
    <w:rsid w:val="005F24C2"/>
    <w:rsid w:val="005F3265"/>
    <w:rsid w:val="0060099A"/>
    <w:rsid w:val="00603B7D"/>
    <w:rsid w:val="00617198"/>
    <w:rsid w:val="006248C0"/>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C53D5"/>
    <w:rsid w:val="007D181A"/>
    <w:rsid w:val="007F16BF"/>
    <w:rsid w:val="007F4CB9"/>
    <w:rsid w:val="0080335D"/>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2F54"/>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04AE5"/>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1508"/>
    <w:rsid w:val="00AA2DB4"/>
    <w:rsid w:val="00AB0407"/>
    <w:rsid w:val="00AB5DBB"/>
    <w:rsid w:val="00AC727E"/>
    <w:rsid w:val="00AD458B"/>
    <w:rsid w:val="00AD5F7D"/>
    <w:rsid w:val="00AE1F2D"/>
    <w:rsid w:val="00AE3DBA"/>
    <w:rsid w:val="00AE6854"/>
    <w:rsid w:val="00AF13D8"/>
    <w:rsid w:val="00AF2BA4"/>
    <w:rsid w:val="00B065C5"/>
    <w:rsid w:val="00B10861"/>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528BB"/>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41A15"/>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775C3"/>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503FE"/>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3.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07781DB-EED9-4359-8AD9-68137B52B7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10693</TotalTime>
  <Pages>56</Pages>
  <Words>19067</Words>
  <Characters>104871</Characters>
  <Application>Microsoft Office Word</Application>
  <DocSecurity>0</DocSecurity>
  <Lines>873</Lines>
  <Paragraphs>247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254</cp:revision>
  <dcterms:created xsi:type="dcterms:W3CDTF">2026-03-23T21:09:00Z</dcterms:created>
  <dcterms:modified xsi:type="dcterms:W3CDTF">2026-09-02T15:54:00Z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