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646E50B1">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H5D5KwIAAFQEAAAOAAAAZHJzL2Uyb0RvYy54bWysVNuO0zAQfUfiHyy/0ySlTUvUdLXqUoS0 XMTCBzi2cwHHY2y3yfL1jJ22dIEnRB6sGY995syZcTY3Y6/IUVrXgS5pNkspkZqD6HRT0i+f9y/W lDjPtGAKtCzpo3T0Zvv82WYwhZxDC0pISxBEu2IwJW29N0WSON7KnrkZGKkxWIPtmUfXNomwbED0 XiXzNM2TAawwFrh0DnfvpiDdRvy6ltx/qGsnPVElRW4+rjauVViT7YYVjWWm7fiJBvsHFj3rNCa9 QN0xz8jBdn9A9R234KD2Mw59AnXdcRlrwGqy9LdqHlpmZKwFxXHmIpP7f7D8/fHBfLSBujP3wL85 omHXMt3IW2thaCUTmC4LQiWDccXlQnAcXiXV8A4EtpYdPEQNxtr2ARCrI2OU+vEitRw94biZrdb5 Yo0d4RjL05fzZexFworzbWOdfyOhJ8EoqYWDFp+wnzEFO947H/UWRLM+ZBdfKal7hd07MkWyPM9X kTQrTocR+4wZywXViX2nVHRsU+2UJXi1pPv4nS6762NKk6Gk8/VytYw0ngTdNUYav79hxELi2AVt X2sRbc86NdlIU+nAScbxxTrP0ge1w2C7wo/ViLvBrEA8YhMsTKONTxGNFuwPSgYc65K67wdmJSXq rcZGvsoWi/AOorNYrubo2OtIdR1hmiNUST0lk7nz09s5GNs1LWbKog4abrH5dXehOrE6jQyOLlpP 3sa1H0/9+hlsfwIAAP//AwBQSwMEFAAGAAgAAAAhAB7EOUjaAAAABAEAAA8AAABkcnMvZG93bnJl di54bWxMj8FOwzAQRO9I/QdrK3FB1E4QUEKcqlRC4koL4rqJt3HUeB3Fbhv+HsOFXlYazWjmbbma XC9ONIbOs4ZsoUAQN9503Gr42L3eLkGEiGyw90wavinAqppdlVgYf+Z3Om1jK1IJhwI12BiHQsrQ WHIYFn4gTt7ejw5jkmMrzYjnVO56mSv1IB12nBYsDrSx1By2R6dh32Q+f9zcvH3KiFn3pV52tbNa X8+n9TOISFP8D8MvfkKHKjHV/sgmiF5DeiT+3eTly+wORK3h6V6BrEp5CV/9AAAA//8DAFBLAQIt ABQABgAIAAAAIQC2gziS/gAAAOEBAAATAAAAAAAAAAAAAAAAAAAAAABbQ29udGVudF9UeXBlc10u eG1sUEsBAi0AFAAGAAgAAAAhADj9If/WAAAAlAEAAAsAAAAAAAAAAAAAAAAALwEAAF9yZWxzLy5y ZWxzUEsBAi0AFAAGAAgAAAAhAC8fkPkrAgAAVAQAAA4AAAAAAAAAAAAAAAAALgIAAGRycy9lMm9E b2MueG1sUEsBAi0AFAAGAAgAAAAhAB7EOUjaAAAABAEAAA8AAAAAAAAAAAAAAAAAhQQAAGRycy9k b3ducmV2LnhtbFBLBQYAAAAABAAEAPMAAACMBQAAAAA= "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2F96DBBD" w14:textId="0BC31A90"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14EA456F" w14:textId="25405202"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45AD3BC" w14:textId="5CA90522"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3063971B" w14:textId="4B1233D2"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153C75B2" w14:textId="12C3066E" w:rsidR="00577C4C" w:rsidRPr="00C733EA" w:rsidRDefault="00577C4C">
      <w:pPr>
        <w:pStyle w:val="Prrafodelista"/>
        <w:numPr>
          <w:ilvl w:val="0"/>
          <w:numId w:val="18"/>
        </w:numPr>
        <w:spacing w:line="276" w:lineRule="auto"/>
        <w:rPr>
          <w:b w:val="0"/>
          <w:bCs w:val="0"/>
          <w:color w:val="000000"/>
        </w:rPr>
      </w:pPr>
      <w:r>
        <w:rPr>
          <w:b w:val="0"/>
          <w:bCs w:val="0"/>
          <w:color w:val="000000"/>
        </w:rPr>
        <w:t>MGPP: Modelo de Gobernabilidad de Programas y Proyectos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B82E47C" w14:textId="5338AFD3"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657CB8AD"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F3B42E8" w14:textId="4514BA5F"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028AC543"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IA y observando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034E970E" w14:textId="066EDA69" w:rsidR="00D443F8" w:rsidRDefault="00226840" w:rsidP="00226840">
      <w:pPr>
        <w:spacing w:after="60" w:line="276" w:lineRule="auto"/>
        <w:jc w:val="both"/>
        <w:rPr>
          <w:rFonts w:ascii="Arial" w:hAnsi="Arial" w:cs="Arial"/>
        </w:rPr>
      </w:pPr>
      <w:r>
        <w:rPr>
          <w:rFonts w:ascii="Arial" w:hAnsi="Arial" w:cs="Arial"/>
          <w:highlight w:val="green"/>
        </w:rPr>
        <w:t>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19022123"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07C052BD"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0D9FD36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sus modificatorias aprobadas por Decreto Supremo N.° 075-2023-PCM y Decreto Supremo N.° 098-2025-PCM (31/07/2025).</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6A0EAAFB"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w:t>
      </w:r>
      <w:r w:rsidR="0016350B">
        <w:rPr>
          <w:b w:val="0"/>
          <w:bCs w:val="0"/>
          <w:color w:val="000000"/>
        </w:rPr>
        <w:t>.</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433D518E"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741A25AD" w14:textId="66A61B92"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40BF5E87" w14:textId="28E4149D"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entre ellos la Política de Seguridad de la Información (SGSI-PO-01).</w:t>
      </w:r>
    </w:p>
    <w:p w14:paraId="0CFF0631" w14:textId="5061B72D"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 xml:space="preserve">Resolución de Superintendencia N.° 050-2019/SUNAT (06/03/2019), que aprueba los documentos del Sistema de Gestión de Seguridad de la Información de la SUNAT, </w:t>
      </w:r>
      <w:r>
        <w:rPr>
          <w:b w:val="0"/>
          <w:bCs w:val="0"/>
          <w:color w:val="000000"/>
          <w:highlight w:val="green"/>
        </w:rPr>
        <w:lastRenderedPageBreak/>
        <w:t>entre ellos el Manual de Políticas del Sistema de Gestión de Seguridad de la Información (SGSI-MA-03).</w:t>
      </w:r>
    </w:p>
    <w:p w14:paraId="64BA9802" w14:textId="68AD2ED5"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Resolución de Oficina N.° 001-2024-SUNAT/1V0000 (16/12/2024), que aprueba la Metodología para la formulación, aprobación y control de los Documentos Normativos Institucionales (METDONI) Versión 1.4.</w:t>
      </w:r>
    </w:p>
    <w:p w14:paraId="4208E65D" w14:textId="23A3D6C9"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t>Resolución de Oficina N.° 000002-2023-SUNAT/1V0000 (22/12/2023), que aprueba la Metodología para la Gestión por Procesos (METGEP) Versión 5.0.</w:t>
      </w:r>
    </w:p>
    <w:p w14:paraId="050A6C68" w14:textId="3C66878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3D158E31" w14:textId="52E23D9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2B8C4D28"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Sus etapas son las previstas en el numeral 6.1.1 de la presente directiva. [ISO/IEC 22989:2022, sección 3.2.1; NTP-ISO/IEC 42001:2025, Anexo A, A.6]</w:t>
      </w:r>
    </w:p>
    <w:p w14:paraId="1B4D1F52"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14F8B932" w14:textId="2D58FC35"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65F8804D"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genera sobre los derechos de los administrados, previo a su desarrollo o implementación. </w:t>
      </w:r>
      <w:r>
        <w:rPr>
          <w:b w:val="0"/>
          <w:bCs w:val="0"/>
          <w:color w:val="000000"/>
          <w:highlight w:val="yellow"/>
          <w:lang w:val="en-US"/>
        </w:rPr>
        <w:t>[D.S. N.° 115-2025-PCM, Art. 30; NTP-ISO/IEC 42001:2025, Anexo A, A.5.2]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6B37AA3"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[D.S. N.° 115-2025-PCM, Art. 7 lit. h); ISO/IEC 22989:2022, sección 3.4.3]</w:t>
      </w:r>
    </w:p>
    <w:p w14:paraId="71C33EFC" w14:textId="484ABFF8"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[D.S. N.° 115-2025-PCM, Art. 7 lit. h); ISO/IEC 22989:2022, sección 3.4.4]</w:t>
      </w:r>
    </w:p>
    <w:p w14:paraId="6A54410E" w14:textId="5E74AE7B"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2D99BF1A" w14:textId="4D621AC5"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w:t>
      </w:r>
      <w:r>
        <w:rPr>
          <w:b w:val="0"/>
          <w:bCs w:val="0"/>
          <w:color w:val="000000"/>
          <w:highlight w:val="green"/>
        </w:rPr>
        <w:lastRenderedPageBreak/>
        <w:t>terceros, así como a la tramitación de las denuncias a que se refiere el artículo 192 del mismo Código. Dicha información únicamente puede ser utilizada por la Administración Tributaria para sus fines propios y la obligación de reserva alcanza a 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3C60E648" w14:textId="5CCB40A5"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[Ley N.° 31814, Art. 2; D.S. N.° 115-2025-PCM, Art. 6 lit. 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4FC25D10"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y de la normativa de protección de datos personales. [D.S. N.° 115-2025-PCM, artículo 25]</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6A44529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Política de IA</w:t>
      </w:r>
      <w:r>
        <w:rPr>
          <w:rFonts w:ascii="Arial" w:eastAsia="Arial" w:hAnsi="Arial" w:cs="Arial"/>
          <w:color w:val="000000"/>
        </w:rPr>
        <w:t>, en concordancia con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r>
      <w:r>
        <w:rPr>
          <w:rFonts w:ascii="Arial" w:hAnsi="Arial" w:cs="Arial"/>
          <w:color w:val="000000"/>
          <w:highlight w:val="lightGray"/>
        </w:rPr>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 xml:space="preserve">El Gobierno de IA aplica el principio de proporcionalidad: las exigencias de evaluación, supervisión y control se gradúan según el nivel de riesgo del SBIA. </w:t>
      </w:r>
      <w:r>
        <w:rPr>
          <w:rFonts w:ascii="Arial" w:eastAsia="Arial" w:hAnsi="Arial" w:cs="Arial"/>
          <w:color w:val="000000"/>
          <w:highlight w:val="yellow"/>
        </w:rPr>
        <w:lastRenderedPageBreak/>
        <w:t>La proporcionalidad no exime del cumplimiento de los controles y obligaciones que el RLIA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11EDF8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y se efectúa al aprobar la clasificación de riesgo conforme al numeral 6.2.2.</w:t>
      </w:r>
    </w:p>
    <w:p w14:paraId="0AA671F2" w14:textId="77777777" w:rsidR="00E34945" w:rsidRDefault="00E34945" w:rsidP="00E34945">
      <w:pPr>
        <w:pStyle w:val="SubtituloDONI"/>
        <w:spacing w:line="276" w:lineRule="auto"/>
        <w:ind w:left="851"/>
      </w:pPr>
      <w:r>
        <w:t>5.3</w:t>
      </w:r>
      <w:r>
        <w:tab/>
        <w:t>De la Comisión de Gobierno de IA</w:t>
      </w:r>
    </w:p>
    <w:p w14:paraId="2E6E0212" w14:textId="1E275FD9"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r>
      <w:r>
        <w:rPr>
          <w:rFonts w:ascii="Arial" w:eastAsia="Arial" w:hAnsi="Arial" w:cs="Arial"/>
          <w:color w:val="000000"/>
          <w:highlight w:val="green"/>
        </w:rPr>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Las funciones de la Comisión de Gobierno de IA, en apoyo al CGTD, se definen en el numeral 5.4 y en las disposiciones específicas de la presente directiva.</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209C0DA"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lastRenderedPageBreak/>
              <w:t>Impulsa la adopción institucional de la inteligencia artificial</w:t>
            </w:r>
            <w:r>
              <w:rPr>
                <w:b w:val="0"/>
                <w:bCs w:val="0"/>
              </w:rPr>
              <w:t>.</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lastRenderedPageBreak/>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850283"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05EDDB67"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03F7DD40" w14:textId="5DF11CE1"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Aprueba los casos de uso y la estrategia de IA.</w:t>
            </w:r>
          </w:p>
          <w:p w14:paraId="7B4BEC41"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38AD5830"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555CCBE5" w14:textId="6707FE22"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Preparar la propuesta de estrategia institucional de IA y sus 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 xml:space="preserve">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w:t>
            </w:r>
            <w:r>
              <w:rPr>
                <w:b w:val="0"/>
                <w:bCs w:val="0"/>
                <w:highlight w:val="green"/>
              </w:rPr>
              <w:lastRenderedPageBreak/>
              <w:t>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05CF9C21"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05CF9C22"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lastRenderedPageBreak/>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3D4DE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3D4DEA">
            <w:pPr>
              <w:spacing w:after="0" w:line="276" w:lineRule="auto"/>
            </w:pPr>
            <w:r>
              <w:rPr>
                <w:rFonts w:ascii="Arial" w:eastAsia="Arial" w:hAnsi="Arial" w:cs="Arial"/>
                <w:b/>
                <w:bCs/>
                <w:color w:val="000000"/>
              </w:rPr>
              <w:t>Oficial de</w:t>
            </w:r>
          </w:p>
          <w:p w14:paraId="699EF18A"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3D4DEA">
            <w:pPr>
              <w:spacing w:after="0" w:line="276" w:lineRule="auto"/>
            </w:pPr>
            <w:r>
              <w:rPr>
                <w:rFonts w:ascii="Arial" w:eastAsia="Arial" w:hAnsi="Arial" w:cs="Arial"/>
                <w:b/>
                <w:bCs/>
                <w:color w:val="000000"/>
                <w:highlight w:val="yellow"/>
              </w:rPr>
              <w:lastRenderedPageBreak/>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36F0A719"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e informa al CGTD los incidentes de seguridad digital críticos que los involucren. Cuando un SBIA constituya un activo de información de un proceso comprendido en el alcance del SGSI, coordina la aplicación de los controles que correspondan.</w:t>
            </w:r>
          </w:p>
        </w:tc>
      </w:tr>
      <w:tr w:rsidR="00B34A74" w14:paraId="0B3F707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3D4DEA">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176F1331"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 xml:space="preserve">Revisa la EIA en materia de cumplimiento </w:t>
            </w:r>
            <w:r>
              <w:rPr>
                <w:b w:val="0"/>
                <w:bCs w:val="0"/>
                <w:highlight w:val="green"/>
              </w:rPr>
              <w:lastRenderedPageBreak/>
              <w:t>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04FBB6C1"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81BC02B" w14:textId="5BBFF583"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37D9A84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9DFB0CF"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5094836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3D4DEA">
            <w:pPr>
              <w:spacing w:before="20" w:after="20" w:line="276" w:lineRule="auto"/>
              <w:rPr>
                <w:rFonts w:ascii="Arial" w:hAnsi="Arial" w:cs="Arial"/>
              </w:rPr>
            </w:pPr>
            <w:r>
              <w:rPr>
                <w:rFonts w:ascii="Arial" w:eastAsia="Arial" w:hAnsi="Arial" w:cs="Arial"/>
                <w:b/>
                <w:bCs/>
                <w:highlight w:val="yellow"/>
              </w:rPr>
              <w:lastRenderedPageBreak/>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78D301"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0B8A380A" w14:textId="0CFAF43F"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5226AE7A"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71793657" w14:textId="5C353D32"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w:t>
            </w:r>
          </w:p>
        </w:tc>
      </w:tr>
      <w:tr w:rsidR="003D4DEA" w14:paraId="5E0BF254" w14:textId="77777777" w:rsidTr="003D4DEA">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7D591873" w14:textId="23549B12" w:rsidR="003D4DEA" w:rsidRPr="003D4DEA" w:rsidRDefault="003D4DEA" w:rsidP="003D4DEA">
            <w:pPr>
              <w:spacing w:before="20" w:after="20" w:line="276" w:lineRule="auto"/>
              <w:jc w:val="both"/>
              <w:rPr>
                <w:highlight w:val="yellow"/>
              </w:rPr>
            </w:pPr>
            <w:r>
              <w:rPr>
                <w:rFonts w:ascii="Arial" w:eastAsia="Arial" w:hAnsi="Arial" w:cs="Arial"/>
                <w:b/>
                <w:bCs/>
              </w:rPr>
              <w:t>Otras unidades de organización con responsabilidad en el gobierno de IA</w:t>
            </w:r>
          </w:p>
        </w:tc>
      </w:tr>
      <w:tr w:rsidR="00B34A74" w14:paraId="1CD4B12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3D4DEA">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56B2779C"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Conduce el proceso de elaboración de las acciones de sensibilización, concientización y capacitación en IA, diferenciadas por grupos de uso de SBIA, y eleva la propuesta para su aprobación, conforme al literal f) del artículo 197 del ROF.</w:t>
            </w:r>
          </w:p>
          <w:p w14:paraId="17A3763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lastRenderedPageBreak/>
              <w:t>Promueve la adopción de la inteligencia artificial en el ámbito de las personas, conforme al numeral 6.13.3.</w:t>
            </w:r>
          </w:p>
          <w:p w14:paraId="74F9D318"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FCDD395" w:rsidR="00863A18" w:rsidRPr="00923C59" w:rsidRDefault="003D4DEA" w:rsidP="00B23382">
      <w:pPr>
        <w:pStyle w:val="Ttulo1"/>
        <w:spacing w:line="276" w:lineRule="auto"/>
        <w:rPr>
          <w:rFonts w:cs="Arial"/>
          <w:szCs w:val="22"/>
        </w:rPr>
      </w:pPr>
      <w:bookmarkStart w:id="6" w:name="_Toc235003966"/>
      <w:r>
        <w:rPr>
          <w:rFonts w:cs="Arial"/>
          <w:bCs/>
          <w:color w:val="000000"/>
          <w:szCs w:val="22"/>
        </w:rPr>
        <w:lastRenderedPageBreak/>
        <w:br w:type="textWrapping" w:clear="all"/>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Pr>
          <w:rFonts w:ascii="Arial" w:eastAsia="Arial" w:hAnsi="Arial" w:cs="Arial"/>
          <w:color w:val="000000"/>
          <w:highlight w:val="green"/>
        </w:rPr>
        <w:t>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 xml:space="preserve">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w:t>
            </w:r>
            <w:r>
              <w:rPr>
                <w:rFonts w:ascii="Arial" w:eastAsia="Arial" w:hAnsi="Arial" w:cs="Arial"/>
                <w:highlight w:val="green"/>
              </w:rPr>
              <w:lastRenderedPageBreak/>
              <w:t>etapa no comporta hito de aprobación: la evaluación del componente de IA y la aprobación corresponden 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Pr>
                <w:rFonts w:ascii="Arial" w:eastAsia="Arial" w:hAnsi="Arial" w:cs="Arial"/>
                <w:highlight w:val="green"/>
              </w:rPr>
              <w:t>La Gerencia de Arquitectura conduce el diseño de la arquitectura del SBIA y las Divisiones de Arquitectura lo 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5B315C61" w:rsidR="00E67A73" w:rsidRDefault="0045319E">
            <w:pPr>
              <w:spacing w:before="20" w:after="20" w:line="276" w:lineRule="auto"/>
              <w:rPr>
                <w:rFonts w:ascii="Arial" w:hAnsi="Arial" w:cs="Arial"/>
              </w:rPr>
            </w:pPr>
            <w:r>
              <w:rPr>
                <w:rFonts w:ascii="Arial" w:eastAsia="Arial" w:hAnsi="Arial" w:cs="Arial"/>
                <w:highlight w:val="green"/>
              </w:rPr>
              <w:t>Aprobación del diseño de la arquitectura de solución por la División de Arquitectura competente según la materia, conforme al numeral 6.5.4. Para SBIA de riesgo alto, aprobación de la EIA por el CGTD, previa al inicio del desarrollo, adquisición o implementación.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Pr>
                <w:rFonts w:ascii="Arial" w:eastAsia="Arial" w:hAnsi="Arial" w:cs="Arial"/>
                <w:highlight w:val="green"/>
              </w:rPr>
              <w:t xml:space="preserve">Las gerencias competentes de la INSI ejecutan el desarrollo del SBIA o gestionan su adquisición. La Oficina de Seguridad Informática evalúa y propone los </w:t>
            </w:r>
            <w:r>
              <w:rPr>
                <w:rFonts w:ascii="Arial" w:eastAsia="Arial" w:hAnsi="Arial" w:cs="Arial"/>
                <w:highlight w:val="green"/>
              </w:rPr>
              <w:lastRenderedPageBreak/>
              <w:t>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 xml:space="preserve">En desarrollo interno: Conformidad de Gerencia de Desarrollo de Sistemas (INSI). En adquisición: </w:t>
            </w:r>
            <w:r>
              <w:rPr>
                <w:rFonts w:ascii="Arial" w:eastAsia="Arial" w:hAnsi="Arial" w:cs="Arial"/>
              </w:rPr>
              <w:lastRenderedPageBreak/>
              <w:t>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información y de infraestructura tecnológica que soporta el SBIA, incluido el red teaming para riesgo alto, y verifica la implementación de los requisitos de seguridad propuestos en la etapa anterior. El </w:t>
            </w:r>
            <w:r>
              <w:rPr>
                <w:rFonts w:ascii="Arial" w:hAnsi="Arial" w:cs="Arial"/>
                <w:highlight w:val="green"/>
              </w:rPr>
              <w:lastRenderedPageBreak/>
              <w:t>propietario del caso de uso verifica la implementación del mecanismo de supervisión humana conforme al numeral 6.6.2. La Comisión de Gobierno de IA verifica la implementación de los controles, del mecanismo de supervisión humana y de las medidas frente al sesgo, conforme a los numerales 6.2.5, 6.6.2 y 6.6.4. Asimismo, aprueba el plan de monitoreo del SBIA conforme al numeral 6.10.1. La aprobación requiere la conformidad de la División de Control de Calidad, de la Oficina de Seguridad Informática, del propietario del caso de uso y de la Comisión de Gobierno de IA. La titularidad de la aprobación se determina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 xml:space="preserve">El SBIA opera bajo la supervisión humana y el monitoreo previstos </w:t>
            </w:r>
            <w:r>
              <w:rPr>
                <w:rFonts w:ascii="Arial" w:eastAsia="Arial" w:hAnsi="Arial" w:cs="Arial"/>
                <w:highlight w:val="yellow"/>
              </w:rPr>
              <w:lastRenderedPageBreak/>
              <w:t>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r>
      <w:r>
        <w:rPr>
          <w:rFonts w:ascii="Arial" w:hAnsi="Arial" w:cs="Arial"/>
          <w:color w:val="000000"/>
          <w:highlight w:val="green"/>
        </w:rPr>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26FCB59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r>
      <w:r>
        <w:rPr>
          <w:rFonts w:ascii="Arial" w:eastAsia="Arial" w:hAnsi="Arial" w:cs="Arial"/>
          <w:color w:val="000000"/>
          <w:highlight w:val="green"/>
        </w:rPr>
        <w:t>Los SBIA SaaS (enfoque A) siguen un ciclo de vida abreviado, que comprende cuando menos: el registro en el Inventario Institucional de SBIA, la clasificación de riesgo conforme al numeral 6.2 y las verificaciones previstas en el numeral 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5AADA185" w14:textId="018B1BF0"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r>
      <w:r>
        <w:rPr>
          <w:rFonts w:ascii="Arial" w:eastAsia="Arial" w:hAnsi="Arial" w:cs="Arial"/>
          <w:color w:val="000000"/>
          <w:highlight w:val="green"/>
        </w:rPr>
        <w:tab/>
        <w:t xml:space="preserve">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El pronunciamiento no favorable se fundamenta por escrito y se eleva al CGTD. Cuando invoca el uso indebido o una contravención normativa, el CGTD verifica la causal y, si concurre, deja constancia en acta de que el caso de uso no procede. Cuando invoca que el </w:t>
      </w:r>
      <w:r>
        <w:rPr>
          <w:rFonts w:ascii="Arial" w:eastAsia="Arial" w:hAnsi="Arial" w:cs="Arial"/>
          <w:color w:val="000000"/>
          <w:highlight w:val="green"/>
        </w:rPr>
        <w:lastRenderedPageBreak/>
        <w:t>resultado esperado se alcanza sin inteligencia artificial, el CGTD resuelve en acta si el caso de uso continúa con el componente de IA o sin él.</w:t>
      </w:r>
    </w:p>
    <w:p w14:paraId="68622EF3" w14:textId="6B816EC8"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r>
      <w:r>
        <w:rPr>
          <w:rFonts w:ascii="Arial" w:hAnsi="Arial" w:cs="Arial"/>
          <w:color w:val="000000"/>
          <w:highlight w:val="lightGray"/>
        </w:rPr>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conforme al literal h del numeral 6.4 de la METDONI, y su proyecto se somete a la validación de la Comisión de Gobierno de IA conforme al numeral 6.5 de la misma metodología. La aprobación corresponde a la INSI conforme al literal j) del artículo 102 del ROF; cuando la Comisión de Gobierno de IA mantenga observaciones no acogidas, estas se elevan al CGTD, que se pronuncia con anterioridad a la aprobación. </w:t>
      </w:r>
      <w:r>
        <w:rPr>
          <w:rFonts w:ascii="Arial" w:hAnsi="Arial" w:cs="Arial"/>
          <w:color w:val="000000"/>
          <w:highlight w:val="lightGray"/>
        </w:rPr>
        <w:t>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1730EF88" w14:textId="29964B64" w:rsidR="00F4172E" w:rsidRDefault="00F4172E" w:rsidP="00D443F8">
      <w:pPr>
        <w:spacing w:after="60" w:line="276" w:lineRule="auto"/>
        <w:ind w:left="1276" w:hanging="720"/>
        <w:jc w:val="both"/>
        <w:rPr>
          <w:rFonts w:ascii="Arial" w:eastAsia="Arial" w:hAnsi="Arial" w:cs="Arial"/>
          <w:color w:val="000000"/>
        </w:rPr>
      </w:pPr>
      <w:proofErr w:type="gramStart"/>
      <w:r>
        <w:rPr>
          <w:rFonts w:ascii="Arial" w:eastAsia="Arial" w:hAnsi="Arial" w:cs="Arial"/>
          <w:color w:val="000000"/>
          <w:highlight w:val="green"/>
        </w:rPr>
        <w:t>6.1.6  Todo</w:t>
      </w:r>
      <w:proofErr w:type="gramEnd"/>
      <w:r>
        <w:rPr>
          <w:rFonts w:ascii="Arial" w:eastAsia="Arial" w:hAnsi="Arial" w:cs="Arial"/>
          <w:color w:val="000000"/>
          <w:highlight w:val="green"/>
        </w:rPr>
        <w:t xml:space="preserve">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6E565EC7"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r>
      <w:r>
        <w:rPr>
          <w:rFonts w:ascii="Arial" w:hAnsi="Arial" w:cs="Arial"/>
          <w:color w:val="000000"/>
          <w:highlight w:val="cyan"/>
        </w:rPr>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F68BDCC" w14:textId="3FFD2A8E"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r>
      <w:r>
        <w:rPr>
          <w:rFonts w:ascii="Arial" w:eastAsia="Arial" w:hAnsi="Arial" w:cs="Arial"/>
          <w:color w:val="000000"/>
          <w:highlight w:val="green"/>
        </w:rPr>
        <w:tab/>
      </w:r>
      <w:r>
        <w:rPr>
          <w:rFonts w:ascii="Arial" w:eastAsia="Arial" w:hAnsi="Arial" w:cs="Arial"/>
          <w:highlight w:val="green"/>
        </w:rPr>
        <w:t xml:space="preserve">Para la aplicación de la clasificación establecida, la Comisión de Gobierno de IA propone la clasificación de riesgo de las iniciativas que se presentan. La opinión de la OII, en materia de ética, integridad y prevención de sesgos, y la </w:t>
      </w:r>
      <w:r>
        <w:rPr>
          <w:rFonts w:ascii="Arial" w:eastAsia="Arial" w:hAnsi="Arial" w:cs="Arial"/>
          <w:highlight w:val="green"/>
        </w:rPr>
        <w:lastRenderedPageBreak/>
        <w:t>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evaluación de viabilidad de acuerdo al ciclo de vida descrito en el 6.1.1. La clasificación aplica los criterios de la Matriz de Clasificación de Riesgos de IA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green"/>
        </w:rPr>
        <w:t>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017012F5"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r>
      <w:r>
        <w:rPr>
          <w:rFonts w:ascii="Arial" w:eastAsia="Arial" w:hAnsi="Arial" w:cs="Arial"/>
          <w:color w:val="000000"/>
          <w:highlight w:val="green"/>
        </w:rPr>
        <w:tab/>
        <w:t>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337A84A1" w14:textId="017012A1"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r>
      <w:r>
        <w:rPr>
          <w:rFonts w:ascii="Arial" w:eastAsia="Arial" w:hAnsi="Arial" w:cs="Arial"/>
          <w:color w:val="000000"/>
          <w:highlight w:val="green"/>
        </w:rPr>
        <w:tab/>
        <w:t xml:space="preserve">Cuando se determine que un SBIA en operación corresponde a la categoría de uso indebido, el propietario del caso de uso dispone su suspensión inmediata y comunica el hecho a la Comisión de Gobierno de IA. La Comisión eleva el </w:t>
      </w:r>
      <w:r>
        <w:rPr>
          <w:rFonts w:ascii="Arial" w:eastAsia="Arial" w:hAnsi="Arial" w:cs="Arial"/>
          <w:color w:val="000000"/>
          <w:highlight w:val="green"/>
        </w:rPr>
        <w:lastRenderedPageBreak/>
        <w:t>caso al CGTD, que verifica la causal conforme al numeral 6.1.4 y deja constancia en acta. Verificada la causal, el SBIA se retira conforme a la etapa 8 del numeral 6.1.1. La suspensión, su fecha y el acuerdo del CGTD constan en el Inventario Institucional de SBIA.</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1D89B4A"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r>
      <w:r>
        <w:rPr>
          <w:rFonts w:ascii="Arial" w:eastAsia="Arial" w:hAnsi="Arial" w:cs="Arial"/>
          <w:color w:val="000000"/>
          <w:highlight w:val="green"/>
        </w:rPr>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14AA55D"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r>
      <w:r>
        <w:rPr>
          <w:rFonts w:ascii="Arial" w:hAnsi="Arial" w:cs="Arial"/>
          <w:color w:val="000000"/>
          <w:highlight w:val="green"/>
        </w:rPr>
        <w:tab/>
        <w:t>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revisan. Cuando la materia comprenda el sentido y el alcance de las normas tributarias o aduaneras, la Comisión de Gobierno de IA convoca a la Intendencia Nacional Jurídico Tributaria o a la Intendencia Nacional Jurídico Aduanera. Concluidas las revisiones, la Comisión de Gobierno de IA eleva la EIA al CGTD para su aprobación conforme al numeral 6.4.1.</w:t>
      </w:r>
    </w:p>
    <w:p w14:paraId="30D5631C"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r>
      <w:r>
        <w:rPr>
          <w:rFonts w:ascii="Arial" w:eastAsia="Arial" w:hAnsi="Arial" w:cs="Arial"/>
          <w:color w:val="000000"/>
          <w:highlight w:val="green"/>
        </w:rPr>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12A62F0C" w14:textId="5BB4595E"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6.5.1</w:t>
      </w:r>
      <w:r>
        <w:rPr>
          <w:rFonts w:ascii="Arial" w:eastAsia="Arial" w:hAnsi="Arial" w:cs="Arial"/>
          <w:color w:val="000000"/>
          <w:highlight w:val="green"/>
        </w:rPr>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0D44F719"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r>
      <w:r>
        <w:rPr>
          <w:rFonts w:ascii="Arial" w:eastAsia="Arial" w:hAnsi="Arial" w:cs="Arial"/>
          <w:color w:val="000000"/>
          <w:highlight w:val="green"/>
        </w:rPr>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7407794D" w14:textId="7928FBA5"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r>
      <w:r>
        <w:rPr>
          <w:rFonts w:ascii="Arial" w:eastAsia="Arial" w:hAnsi="Arial" w:cs="Arial"/>
          <w:color w:val="000000"/>
          <w:highlight w:val="green"/>
        </w:rPr>
        <w:tab/>
        <w:t>El diseño de la arquitectura de los SBIA observa los Principios de Arquitectura (AAT.PRAQ.01) y los Lineamientos de Arquitectura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agenticos,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 xml:space="preserve">6.5.4   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7887CA88" w14:textId="2A83A4FB"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r>
      <w:r>
        <w:rPr>
          <w:rFonts w:ascii="Arial" w:eastAsia="Arial" w:hAnsi="Arial" w:cs="Arial"/>
          <w:color w:val="000000"/>
          <w:highlight w:val="green"/>
        </w:rPr>
        <w:tab/>
        <w:t xml:space="preserve">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w:t>
      </w:r>
      <w:r>
        <w:rPr>
          <w:rFonts w:ascii="Arial" w:eastAsia="Arial" w:hAnsi="Arial" w:cs="Arial"/>
          <w:color w:val="000000"/>
          <w:highlight w:val="green"/>
        </w:rPr>
        <w:lastRenderedPageBreak/>
        <w:t>autorizadas; la División de Arquitectura de Información y de Aplicaciones aprueba el diseño de dichos mecanismos, conforme al literal a) del artículo 132 del ROF, y la División de Arquitectura Tecnológica valida su implementación antes del despliegue, conforme al literal c) del artículo 134 del ROF.</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C718501" w14:textId="7EFAD5DE" w:rsidR="003D4DEA" w:rsidRDefault="005C3A70"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   La publicación del código fuente de los SBIA financiados con fondos públicos, con licencia libre o abierta en la Plataforma Nacional de Software Público Peruano (PNSSP), prevista en el numeral 28.8 del artículo 28 del RLIA, se sujeta a la determinación previa de su publicabilidad.</w:t>
      </w:r>
      <w:r>
        <w:rPr>
          <w:rFonts w:ascii="Arial" w:eastAsia="Arial" w:hAnsi="Arial" w:cs="Arial"/>
          <w:color w:val="000000"/>
        </w:rPr>
        <w:t xml:space="preserve"> </w:t>
      </w:r>
      <w:r>
        <w:rPr>
          <w:rFonts w:ascii="Arial" w:eastAsia="Arial" w:hAnsi="Arial" w:cs="Arial"/>
          <w:color w:val="000000"/>
          <w:highlight w:val="green"/>
        </w:rPr>
        <w:t>Dicha determinación verifica que el código no revele información sujeta a reserva tributaria conforme al artículo 85 del TUO del Código Tributario. Verifica asimismo que no revele reglas de detección de riesgo cuya divulgación comprometa la función de control. La GA conduce la determinación de publicabilidad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La publicabilidad resulta de dichas opiniones. La GDS pone a disposición el código fuente cuya publicación se haya determinado procedente, conforme a los mecanismos que establezca la Plataforma Nacional de Software Público Peruano. La determinación y su resultado constan en la Ficha de Registro de SBIA (Anexo N.° 1) y, cuando el código no resulte publicable, se consigna igualmente la justificación legal de la restricción. Cuando la determinación comprenda el sentido y el alcance de las normas tributarias o aduaneras, la GA solicita la opinión de la Intendencia Nacional Jurídico Tributaria o de la Intendencia Nacional Jurídico Aduanera, según la materia.</w:t>
      </w:r>
    </w:p>
    <w:p w14:paraId="1268A681" w14:textId="0F8856AB"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w:t>
      </w:r>
      <w:r>
        <w:rPr>
          <w:rFonts w:ascii="Arial" w:eastAsia="Arial" w:hAnsi="Arial" w:cs="Arial"/>
          <w:color w:val="000000"/>
          <w:highlight w:val="green"/>
        </w:rPr>
        <w:lastRenderedPageBreak/>
        <w:t>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53AB1498" w14:textId="77777777" w:rsidR="00863A18" w:rsidRDefault="00863A18" w:rsidP="00B23382">
      <w:pPr>
        <w:pStyle w:val="SubtituloDONI"/>
        <w:spacing w:line="276" w:lineRule="auto"/>
        <w:ind w:left="851"/>
      </w:pPr>
      <w:r>
        <w:t>6.6</w:t>
      </w:r>
      <w:r>
        <w:tab/>
        <w:t>De la supervisión humana</w:t>
      </w:r>
    </w:p>
    <w:p w14:paraId="6541E5CE" w14:textId="5F64000A"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r>
      <w:r>
        <w:rPr>
          <w:rFonts w:ascii="Arial" w:eastAsia="Arial" w:hAnsi="Arial" w:cs="Arial"/>
          <w:color w:val="000000"/>
          <w:highlight w:val="green"/>
        </w:rPr>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2C1A00D4"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entre otros, a chatbots de atención, asistentes de orientación y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237AE0C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 xml:space="preserve">Ha recibido capacitación específica sobre el funcionamiento, las limitaciones y los riesgos del SBIA que supervisa, incluyendo la </w:t>
      </w:r>
      <w:r>
        <w:rPr>
          <w:b w:val="0"/>
          <w:bCs w:val="0"/>
          <w:color w:val="000000"/>
          <w:highlight w:val="yellow"/>
        </w:rPr>
        <w:lastRenderedPageBreak/>
        <w:t>identificación y prevención de sesgos algorítmicos, a fin de no sesgarse por los resultados del sistema</w:t>
      </w:r>
      <w:r>
        <w:rPr>
          <w:rStyle w:val="Refdenotaalpie"/>
        </w:rPr>
        <w:footnoteReference w:id="2"/>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3C0F269D"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76603A3D" w14:textId="0BFD730A"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Política de IA</w:t>
      </w:r>
      <w:r>
        <w:rPr>
          <w:rFonts w:ascii="Arial" w:eastAsia="Arial" w:hAnsi="Arial" w:cs="Arial"/>
          <w:color w:val="000000"/>
          <w:highlight w:val="green"/>
        </w:rPr>
        <w:t>.</w:t>
      </w:r>
      <w:r>
        <w:rPr>
          <w:rFonts w:ascii="Arial" w:eastAsia="Arial" w:hAnsi="Arial" w:cs="Arial"/>
          <w:color w:val="000000"/>
        </w:rPr>
        <w:t xml:space="preserve"> </w:t>
      </w:r>
      <w:r>
        <w:rPr>
          <w:rFonts w:ascii="Arial" w:eastAsia="Arial" w:hAnsi="Arial" w:cs="Arial"/>
          <w:color w:val="000000"/>
          <w:highlight w:val="green"/>
        </w:rPr>
        <w:t>La Comisión de Gobierno de IA verifica la implementación de estas medidas en la etapa 5 del numeral 6.1.1, con anterioridad al despliegue.</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r>
      <w:r>
        <w:rPr>
          <w:rFonts w:ascii="Arial" w:eastAsia="Arial" w:hAnsi="Arial" w:cs="Arial"/>
          <w:color w:val="000000"/>
          <w:highlight w:val="green"/>
        </w:rPr>
        <w:tab/>
        <w:t xml:space="preserve">Los SBIA cumplen la Política de Seguridad de la Información (SGSI-PO-01) y el Manual de Políticas del Sistema de Gestión de Seguridad de la Información (SGSI-MA-03) de la SUNAT, en sus versiones vigentes. El Manual de Políticas </w:t>
      </w:r>
      <w:proofErr w:type="gramStart"/>
      <w:r>
        <w:rPr>
          <w:rFonts w:ascii="Arial" w:eastAsia="Arial" w:hAnsi="Arial" w:cs="Arial"/>
          <w:color w:val="000000"/>
          <w:highlight w:val="green"/>
        </w:rPr>
        <w:t>es de aplicación</w:t>
      </w:r>
      <w:proofErr w:type="gramEnd"/>
      <w:r>
        <w:rPr>
          <w:rFonts w:ascii="Arial" w:eastAsia="Arial" w:hAnsi="Arial" w:cs="Arial"/>
          <w:color w:val="000000"/>
          <w:highlight w:val="green"/>
        </w:rPr>
        <w:t xml:space="preserve">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7E8CBEA9" w14:textId="106B89D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r>
      <w:r>
        <w:rPr>
          <w:rFonts w:ascii="Arial" w:eastAsia="Arial" w:hAnsi="Arial" w:cs="Arial"/>
          <w:color w:val="000000"/>
          <w:highlight w:val="green"/>
        </w:rPr>
        <w:tab/>
        <w:t xml:space="preserve">Para los SBIA de riesgo alto y para los SBIA de riesgo aceptable que interactúen directamente con el administrado, incorporen componentes generativos o procesen datos personales o información sujeta a reserva tributaria, el custodio técnico implementa como mínimo: </w:t>
      </w:r>
      <w:r>
        <w:rPr>
          <w:rFonts w:ascii="Arial" w:eastAsia="Arial" w:hAnsi="Arial" w:cs="Arial"/>
          <w:color w:val="000000"/>
          <w:highlight w:val="yellow"/>
        </w:rPr>
        <w:t>controles de contención (guardrails) de entrada y salida; controles de acceso basados en roles (RBAC); registro inmutable de auditoría (logs) de todas las interacciones; evaluación de vulnerabilidades conforme al OWASP Top 10 para aplicaciones LLM, en la versión que determine el documento normativo del numeral 6.7.7;</w:t>
      </w:r>
      <w:r>
        <w:rPr>
          <w:rFonts w:ascii="Arial" w:eastAsia="Arial" w:hAnsi="Arial" w:cs="Arial"/>
          <w:color w:val="000000"/>
          <w:highlight w:val="green"/>
        </w:rPr>
        <w:t xml:space="preserve"> red teaming de los SBIA de riesgo alto, previo a su despliegue y con la periodicidad que establezca el documento normativo del numeral 6.7.7</w:t>
      </w:r>
      <w:r>
        <w:rPr>
          <w:rFonts w:ascii="Arial" w:eastAsia="Arial" w:hAnsi="Arial" w:cs="Arial"/>
          <w:color w:val="000000"/>
          <w:highlight w:val="yellow"/>
        </w:rPr>
        <w:t>; y anonimización o seudonimización de datos personales antes del procesamiento.</w:t>
      </w:r>
      <w:r>
        <w:t xml:space="preserve"> </w:t>
      </w:r>
      <w:r>
        <w:rPr>
          <w:rFonts w:ascii="Arial" w:eastAsia="Arial" w:hAnsi="Arial" w:cs="Arial"/>
          <w:color w:val="000000"/>
          <w:highlight w:val="green"/>
        </w:rPr>
        <w:t xml:space="preserve">Su implementación se verifica en la etapa 5 del numeral 6.1.1, conforme al numeral 6.2.5. Se registra en la Ficha de Registro de SBIA (Anexo N.° 1). </w:t>
      </w:r>
      <w:r>
        <w:rPr>
          <w:rFonts w:ascii="Arial" w:eastAsia="Arial" w:hAnsi="Arial" w:cs="Arial"/>
          <w:color w:val="000000"/>
          <w:highlight w:val="yellow"/>
        </w:rPr>
        <w:t xml:space="preserve">Estos controles constituyen medidas de seguridad digital conforme al </w:t>
      </w:r>
      <w:r>
        <w:rPr>
          <w:rFonts w:ascii="Arial" w:eastAsia="Arial" w:hAnsi="Arial" w:cs="Arial"/>
          <w:color w:val="000000"/>
          <w:highlight w:val="yellow"/>
        </w:rPr>
        <w:lastRenderedPageBreak/>
        <w:t>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2EFB00D1" w14:textId="5ED01BF8"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d) del artículo 29 del RLIA. </w:t>
      </w:r>
      <w:r>
        <w:rPr>
          <w:rFonts w:ascii="Arial" w:eastAsia="Arial" w:hAnsi="Arial" w:cs="Arial"/>
          <w:color w:val="000000"/>
          <w:highlight w:val="green"/>
        </w:rPr>
        <w:t xml:space="preserve">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w:t>
      </w:r>
      <w:r>
        <w:rPr>
          <w:rFonts w:ascii="Arial" w:eastAsia="Arial" w:hAnsi="Arial" w:cs="Arial"/>
          <w:color w:val="000000"/>
          <w:highlight w:val="green"/>
        </w:rPr>
        <w:lastRenderedPageBreak/>
        <w:t>del numeral 6.9.5.</w:t>
      </w:r>
      <w:r>
        <w:t xml:space="preserve"> </w:t>
      </w:r>
      <w:r>
        <w:rPr>
          <w:rFonts w:ascii="Arial" w:eastAsia="Arial" w:hAnsi="Arial" w:cs="Arial"/>
          <w:color w:val="000000"/>
          <w:highlight w:val="green"/>
        </w:rPr>
        <w:t>La Gerencia de Operaciones y Soporte a Usuarios adecúa el Procedimiento de Gestión de Incidentes (A-03.1.1-PR-002) para comprender los incidentes propios del SBIA y su criterio de cierre, conforme al numeral 7.6 de la presente directiva. En tanto no se apruebe dicha adecuación, estos incidentes se registran por dicho procedimiento y su atención se rige por el presente numeral.</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98BB3C3"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r>
      <w:r>
        <w:rPr>
          <w:rFonts w:ascii="Arial" w:eastAsia="Arial" w:hAnsi="Arial" w:cs="Arial"/>
          <w:color w:val="000000"/>
          <w:highlight w:val="green"/>
        </w:rPr>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w:t>
      </w:r>
    </w:p>
    <w:p w14:paraId="6E9624DC" w14:textId="77777777" w:rsidR="00AF13D8" w:rsidRDefault="003173B4" w:rsidP="00AF13D8">
      <w:pPr>
        <w:spacing w:after="60" w:line="276" w:lineRule="auto"/>
        <w:ind w:left="1276" w:hanging="720"/>
        <w:jc w:val="both"/>
        <w:rPr>
          <w:rFonts w:ascii="Arial" w:eastAsia="Arial" w:hAnsi="Arial" w:cs="Arial"/>
          <w:color w:val="000000"/>
        </w:rPr>
      </w:pPr>
      <w:proofErr w:type="gramStart"/>
      <w:r>
        <w:rPr>
          <w:rFonts w:ascii="Arial" w:eastAsia="Arial" w:hAnsi="Arial" w:cs="Arial"/>
          <w:color w:val="000000"/>
          <w:highlight w:val="green"/>
        </w:rPr>
        <w:t>6.7.8  El</w:t>
      </w:r>
      <w:proofErr w:type="gramEnd"/>
      <w:r>
        <w:rPr>
          <w:rFonts w:ascii="Arial" w:eastAsia="Arial" w:hAnsi="Arial" w:cs="Arial"/>
          <w:color w:val="000000"/>
          <w:highlight w:val="green"/>
        </w:rPr>
        <w:t xml:space="preserve">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La conservación, el acceso y el uso de dicha información observan la 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36612602" w14:textId="22353745" w:rsidR="00931E16" w:rsidRDefault="00931E16" w:rsidP="00AF13D8">
      <w:pPr>
        <w:pStyle w:val="SubtituloDONI"/>
        <w:spacing w:line="276" w:lineRule="auto"/>
        <w:ind w:left="851"/>
      </w:pPr>
      <w:r>
        <w:t>6.8</w:t>
      </w:r>
      <w: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 xml:space="preserve">El OGD promueve la calidad y el intercambio de los datos a fin de evitar sesgos y asegurar la precisión y representatividad de los datos utilizados en el </w:t>
      </w:r>
      <w:r>
        <w:rPr>
          <w:rFonts w:ascii="Arial" w:eastAsia="Arial" w:hAnsi="Arial" w:cs="Arial"/>
          <w:color w:val="000000"/>
          <w:highlight w:val="yellow"/>
        </w:rPr>
        <w:lastRenderedPageBreak/>
        <w:t>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35456B5D" w14:textId="381E8B3C"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6.8.3</w:t>
      </w:r>
      <w:r>
        <w:rPr>
          <w:rFonts w:ascii="Arial" w:eastAsia="Arial" w:hAnsi="Arial" w:cs="Arial"/>
          <w:color w:val="000000"/>
          <w:highlight w:val="green"/>
        </w:rPr>
        <w:tab/>
        <w:t>El uso de datos protegidos por la reserva tributaria para el desarrollo, entrenamiento, validación u operación de un SBIA requiere la determinación previa de su base legal, conforme al artículo 85 del TUO del Código Tributario. 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FB2EA4" w14:textId="149956E8"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6.8.5   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6FEA09F8" w14:textId="58C73FD8"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6.8.6   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lastRenderedPageBreak/>
        <w:t>6.9</w:t>
      </w:r>
      <w:r>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31AFF679"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71D174A5" w14:textId="02CFB158" w:rsidR="00836DA1" w:rsidRPr="0016350B" w:rsidRDefault="00000000" w:rsidP="0016350B">
      <w:pPr>
        <w:spacing w:after="60" w:line="276" w:lineRule="auto"/>
        <w:ind w:left="1276" w:hanging="709"/>
        <w:jc w:val="both"/>
        <w:rPr>
          <w:rFonts w:ascii="Arial" w:hAnsi="Arial" w:cs="Arial"/>
          <w:color w:val="000000"/>
          <w:highlight w:val="green"/>
        </w:rPr>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6.9.5    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la actividad de la Comisión de Gobierno de IA y no constituye avance del Plan de Gobierno Digital.</w:t>
      </w:r>
    </w:p>
    <w:p w14:paraId="3C9C3B6B" w14:textId="4657A750"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r>
      <w:r>
        <w:rPr>
          <w:rFonts w:ascii="Arial" w:eastAsia="Arial" w:hAnsi="Arial" w:cs="Arial"/>
          <w:color w:val="000000"/>
          <w:highlight w:val="green"/>
        </w:rPr>
        <w:tab/>
        <w:t>El estado del gobierno de IA institucional se informa como sección del informe de seguimiento del Plan de Gobierno Digital que presenta el CGTD, con la 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41D4B896" w14:textId="6637DD12"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r>
      <w:r>
        <w:rPr>
          <w:rFonts w:ascii="Arial" w:eastAsia="Arial" w:hAnsi="Arial" w:cs="Arial"/>
          <w:color w:val="000000"/>
          <w:highlight w:val="green"/>
        </w:rPr>
        <w:tab/>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lastRenderedPageBreak/>
        <w:t xml:space="preserve">Cuando el plan de monitoreo prevea vigilancia automatizada, esta </w:t>
      </w:r>
      <w:proofErr w:type="spellStart"/>
      <w:r>
        <w:rPr>
          <w:rFonts w:ascii="Arial" w:eastAsia="Arial" w:hAnsi="Arial" w:cs="Arial"/>
          <w:color w:val="000000"/>
          <w:highlight w:val="green"/>
        </w:rPr>
        <w:t>opera</w:t>
      </w:r>
      <w:proofErr w:type="spellEnd"/>
      <w:r>
        <w:rPr>
          <w:rFonts w:ascii="Arial" w:eastAsia="Arial" w:hAnsi="Arial" w:cs="Arial"/>
          <w:color w:val="000000"/>
          <w:highlight w:val="green"/>
        </w:rPr>
        <w:t xml:space="preserve">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50494295"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r>
      <w:r>
        <w:rPr>
          <w:rFonts w:ascii="Arial" w:eastAsia="Arial" w:hAnsi="Arial" w:cs="Arial"/>
          <w:color w:val="000000"/>
          <w:highlight w:val="green"/>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Los umbrales de cada indicador, las alertas que su superación activa y las acciones de tratamiento correspondientes se definen con anterioridad a la puesta en producción del SBIA, conforme a la metodología prevista en el numeral 6.1.5.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702BE45E" w:rsidR="00532CB5" w:rsidRDefault="00532CB5" w:rsidP="00532CB5">
      <w:pPr>
        <w:spacing w:after="0" w:line="276" w:lineRule="auto"/>
        <w:ind w:left="1276" w:hanging="709"/>
        <w:jc w:val="both"/>
        <w:rPr>
          <w:rFonts w:ascii="Arial" w:hAnsi="Arial" w:cs="Arial"/>
        </w:rPr>
      </w:pPr>
      <w:r>
        <w:rPr>
          <w:rFonts w:ascii="Arial" w:hAnsi="Arial" w:cs="Arial"/>
          <w:highlight w:val="lightGray"/>
        </w:rPr>
        <w:lastRenderedPageBreak/>
        <w:t>6.10.</w:t>
      </w:r>
      <w:r>
        <w:rPr>
          <w:rFonts w:ascii="Arial" w:hAnsi="Arial" w:cs="Arial"/>
          <w:highlight w:val="green"/>
        </w:rPr>
        <w:t xml:space="preserve">5 Es significativo el cambio que altera el desempeño, la finalidad, la población objetivo, las fuentes o la estructura de los datos de entrada, o el contexto de aplicación del SBIA. El </w:t>
      </w:r>
      <w:r>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673502CA" w:rsidR="00975D3B" w:rsidRDefault="00975D3B" w:rsidP="00532CB5">
      <w:pPr>
        <w:spacing w:after="0" w:line="276" w:lineRule="auto"/>
        <w:ind w:left="1276" w:hanging="709"/>
        <w:jc w:val="both"/>
        <w:rPr>
          <w:rFonts w:ascii="Arial" w:hAnsi="Arial" w:cs="Arial"/>
        </w:rPr>
      </w:pPr>
      <w:r>
        <w:rPr>
          <w:rFonts w:ascii="Arial" w:hAnsi="Arial" w:cs="Arial"/>
          <w:highlight w:val="green"/>
        </w:rPr>
        <w:t>6.10.6 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patrones de uso incompatibles con la operación normal del proceso. El plan de monitoreo incorpora los indicadores que permitan detectar dichos patrones. Los efectos del uso irregular sobre el funcionamiento del SBIA se tratan conforme al numeral 6.7.5; la conducta se trata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0EEEF7F1" w14:textId="77777777" w:rsidR="00D02E5D" w:rsidRDefault="00D02E5D"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 y ético, de las 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r>
      <w:r>
        <w:rPr>
          <w:rFonts w:ascii="Arial" w:eastAsia="Arial" w:hAnsi="Arial" w:cs="Arial"/>
          <w:color w:val="000000"/>
          <w:highlight w:val="green"/>
        </w:rPr>
        <w:tab/>
        <w:t xml:space="preserve">El catálogo de herramientas de IA autorizadas para uso institucional, en adelante el catálogo institucional, registra las herramientas aprobadas </w:t>
      </w:r>
      <w:r>
        <w:rPr>
          <w:rFonts w:ascii="Arial" w:eastAsia="Arial" w:hAnsi="Arial" w:cs="Arial"/>
          <w:color w:val="000000"/>
          <w:highlight w:val="green"/>
        </w:rPr>
        <w:lastRenderedPageBreak/>
        <w:t>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3C290EE9"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r>
      <w:r>
        <w:rPr>
          <w:rFonts w:ascii="Arial" w:eastAsia="Arial" w:hAnsi="Arial" w:cs="Arial"/>
          <w:color w:val="000000"/>
          <w:highlight w:val="green"/>
        </w:rPr>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El despliegue de estos modelos observa, en lo que corresponda, el Procedimiento para el Registro, Control y Retiro de Software de la SUNAT (A-03.3.2-PR-01).</w:t>
      </w:r>
    </w:p>
    <w:p w14:paraId="7106A4EF" w14:textId="0149CC0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r>
      <w:r>
        <w:rPr>
          <w:rFonts w:ascii="Arial" w:eastAsia="Arial" w:hAnsi="Arial" w:cs="Arial"/>
          <w:color w:val="000000"/>
          <w:highlight w:val="green"/>
        </w:rPr>
        <w:tab/>
        <w:t>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sin perjuicio de la verificación prevista en el numeral 6.12.3.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26F26301" w14:textId="57532198"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w:t>
      </w:r>
      <w:r>
        <w:rPr>
          <w:rFonts w:ascii="Arial" w:hAnsi="Arial" w:cs="Arial"/>
          <w:color w:val="000000"/>
          <w:highlight w:val="green"/>
        </w:rPr>
        <w:t xml:space="preserve">La División de Gestión de Infraestructura Tecnológica y la División de Atención a Usuarios administran el inventario de software y aseguran, en el ámbito de sus competencias, que los equipos informáticos tengan instalado únicamente software autorizado, conforme al literal b) del artículo 140 y al literal e) del artículo 142 del ROF. </w:t>
      </w:r>
      <w:r>
        <w:rPr>
          <w:rFonts w:ascii="Arial" w:hAnsi="Arial" w:cs="Arial"/>
          <w:color w:val="000000"/>
          <w:highlight w:val="cyan"/>
        </w:rPr>
        <w:t xml:space="preserve">El catálogo institucional constituye el subconjunto de inteligencia artificial del inventario de software autorizado; ambos se distinguen del Inventario Institucional de SBIA, que </w:t>
      </w:r>
      <w:r>
        <w:rPr>
          <w:rFonts w:ascii="Arial" w:hAnsi="Arial" w:cs="Arial"/>
          <w:color w:val="000000"/>
          <w:highlight w:val="cyan"/>
        </w:rPr>
        <w:lastRenderedPageBreak/>
        <w:t>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6E4BF19C"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r>
      <w:r>
        <w:rPr>
          <w:rFonts w:ascii="Arial" w:eastAsia="Arial" w:hAnsi="Arial" w:cs="Arial"/>
          <w:color w:val="000000"/>
          <w:highlight w:val="green"/>
        </w:rPr>
        <w:tab/>
        <w:t>La unidad de organización que formula los términos de referencia o las especificaciones técnicas para la adquisición de un SBIA incorpora en ellos los requisitos de cumplimiento de la presente directiva y de la normativa aplicable. La INSI verifica su incorporación con anterioridad a la conformidad técnica del requerimiento.</w:t>
      </w:r>
    </w:p>
    <w:p w14:paraId="49A67712" w14:textId="01D590D3"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r>
      <w:r>
        <w:rPr>
          <w:rFonts w:ascii="Arial" w:eastAsia="Arial" w:hAnsi="Arial" w:cs="Arial"/>
          <w:color w:val="000000"/>
          <w:highlight w:val="green"/>
        </w:rPr>
        <w:tab/>
        <w:t>La unidad de organización que formula los términos de referencia o las especificaciones técnicas incorpora en ellos las cláusulas que el contrato debe 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0C47E374" w14:textId="3352CADB"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r>
      <w:r>
        <w:rPr>
          <w:rFonts w:ascii="Arial" w:eastAsia="Arial" w:hAnsi="Arial" w:cs="Arial"/>
          <w:color w:val="000000"/>
          <w:highlight w:val="green"/>
        </w:rPr>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3CED9203" w14:textId="1D2ED1E6"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r>
      <w:r>
        <w:rPr>
          <w:rFonts w:ascii="Arial" w:eastAsia="Arial" w:hAnsi="Arial" w:cs="Arial"/>
          <w:color w:val="000000"/>
          <w:highlight w:val="green"/>
        </w:rPr>
        <w:tab/>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010751C3" w14:textId="6D6A6F40"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r>
      <w:r>
        <w:rPr>
          <w:rFonts w:ascii="Arial" w:eastAsia="Arial" w:hAnsi="Arial" w:cs="Arial"/>
          <w:color w:val="000000"/>
          <w:highlight w:val="green"/>
        </w:rPr>
        <w:tab/>
        <w:t xml:space="preserve">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w:t>
      </w:r>
      <w:r>
        <w:rPr>
          <w:rFonts w:ascii="Arial" w:eastAsia="Arial" w:hAnsi="Arial" w:cs="Arial"/>
          <w:color w:val="000000"/>
          <w:highlight w:val="green"/>
        </w:rPr>
        <w:lastRenderedPageBreak/>
        <w:t>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10D8630F" w14:textId="5E280ED4" w:rsidR="00863A18" w:rsidRPr="00641EAF" w:rsidRDefault="00863A18" w:rsidP="00B23382">
      <w:pPr>
        <w:pStyle w:val="SubtituloDONI"/>
        <w:spacing w:line="276" w:lineRule="auto"/>
        <w:ind w:left="851"/>
        <w:rPr>
          <w:highlight w:val="green"/>
        </w:rPr>
      </w:pPr>
      <w:r>
        <w:rPr>
          <w:highlight w:val="green"/>
        </w:rPr>
        <w:t>6.13</w:t>
      </w:r>
      <w:r>
        <w:rPr>
          <w:highlight w:val="green"/>
        </w:rPr>
        <w:tab/>
        <w:t>De la sensibilización, la capacitación y la gestión del cambio</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 Sensibilización</w:t>
      </w:r>
    </w:p>
    <w:p w14:paraId="493B9300" w14:textId="0F4E7D1E"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3767110" w14:textId="2168B6DA"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31E5E6A5" w14:textId="4444DFFE"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finalidad y los principios institucionales aplicables a los SBIA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24701C8F" w14:textId="2639B34D"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El impacto social y ambiental de los SBIA.</w:t>
      </w:r>
    </w:p>
    <w:p w14:paraId="7C045AC2" w14:textId="6A9D42B1"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Esta disposición desarrolla el principio rector de sensibilización y educación en IA establecido en el literal f) del artículo 7 del RLIA,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 Capacitación y fortalecimiento de capacidades</w:t>
      </w:r>
    </w:p>
    <w:p w14:paraId="56A6AAD2" w14:textId="212748F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4DC2972A" w14:textId="18A76C3B"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Los fundamentos y el ciclo de vida de los SBIA.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lastRenderedPageBreak/>
        <w:t>La protección de la reserva tributaria cuando los sistemas procesen información de los administrados.</w:t>
      </w:r>
    </w:p>
    <w:p w14:paraId="6B9B86CB" w14:textId="1D765222"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 disposición se implementa conforme al numeral 28.5 del artículo 28 del RLIA y en concordancia con el numeral 7.2 y el Anexo A.4 de la NTP</w:t>
      </w:r>
      <w:r>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67606C62"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3A774E9A"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conforme al numeral 6.1.6,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60F5B515" w14:textId="4A2084F4"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Esta disposición desarrolla el numeral 28.9 del artículo 28 del RLIA.</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2"/>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w:t>
      </w:r>
      <w:r>
        <w:rPr>
          <w:rFonts w:ascii="Arial" w:eastAsia="Arial" w:hAnsi="Arial" w:cs="Arial"/>
          <w:color w:val="000000"/>
          <w:highlight w:val="yellow"/>
        </w:rPr>
        <w:lastRenderedPageBreak/>
        <w:t>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337C923B"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 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prioridad ni la viabilidad presupuestal de la iniciativa, que corresponden a los instrumentos de gestión respectivos y a las instancias competentes. 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51F21954" w14:textId="210C5702"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Favorable con condiciones, que identifica los controles que corresponden conforme al numeral 6.2.5 y cuya implementación se verifica en la etapa 5 del numeral 6.1.1. Los SBIA clasificados de riesgo alto reciben este pronunciamiento.</w:t>
      </w:r>
    </w:p>
    <w:p w14:paraId="771DA7B9" w14:textId="3C9387F3"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0D3CACE0" w14:textId="06CF0C51"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El uso indebido está prohibido por el artículo 23 del RLIA y el sometimiento de los SBIA de riesgo alto a condiciones y controles es obligatorio conforme al literal b) del numeral 22.1 del artículo 22 del RLIA y a sus artículos 25, 28.11, 29 y 30: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 xml:space="preserve">6.15.2 En la gestión de la demanda informática, cuando un requerimiento implique el desarrollo, la adquisición o el uso de un SBIA o de una herramienta de IA, se recaba la opinión de la Comisión antes de su atención, con los formatos </w:t>
      </w:r>
      <w:r>
        <w:rPr>
          <w:rFonts w:ascii="Arial" w:hAnsi="Arial" w:cs="Arial"/>
          <w:highlight w:val="lightGray"/>
        </w:rPr>
        <w:lastRenderedPageBreak/>
        <w:t>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6.15.3 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6F88953C" w:rsidR="00670027" w:rsidRDefault="00326739" w:rsidP="00EF2B54">
      <w:pPr>
        <w:spacing w:after="60" w:line="276" w:lineRule="auto"/>
        <w:ind w:left="1276" w:hanging="709"/>
        <w:jc w:val="both"/>
        <w:rPr>
          <w:rFonts w:ascii="Arial" w:hAnsi="Arial" w:cs="Arial"/>
        </w:rPr>
      </w:pPr>
      <w:r>
        <w:rPr>
          <w:rFonts w:ascii="Arial" w:hAnsi="Arial" w:cs="Arial"/>
          <w:highlight w:val="green"/>
        </w:rPr>
        <w:t xml:space="preserve">6.15.5 Las unidades de organización competentes de cada instrumento de gestión incorporan en sus documentos normativos la verificación del componente de IA y la opinión de la Comisión de Gobierno de IA, conforme al numeral 7.6. Esta incorporación alcanza al Modelo de Gobernabilidad de Programas y Proyectos </w:t>
      </w:r>
      <w:r>
        <w:rPr>
          <w:rFonts w:ascii="Arial" w:hAnsi="Arial" w:cs="Arial"/>
          <w:highlight w:val="green"/>
        </w:rPr>
        <w:lastRenderedPageBreak/>
        <w:t>y a la gestión de la demanda informática. La presente directiva no 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3CF688B6"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482CBA45" w14:textId="0E4C9FB1" w:rsidR="00CB040E" w:rsidRPr="0094125C" w:rsidRDefault="00CB040E" w:rsidP="00180A95">
      <w:pPr>
        <w:pStyle w:val="SubtituloDONI"/>
        <w:spacing w:line="276" w:lineRule="auto"/>
        <w:ind w:left="851"/>
        <w:rPr>
          <w:b w:val="0"/>
          <w:bCs w:val="0"/>
          <w:highlight w:val="green"/>
        </w:rPr>
      </w:pPr>
      <w:r>
        <w:rPr>
          <w:b w:val="0"/>
          <w:bCs w:val="0"/>
          <w:highlight w:val="green"/>
        </w:rPr>
        <w:t>7.4</w:t>
      </w:r>
      <w:r>
        <w:rPr>
          <w:b w:val="0"/>
          <w:bCs w:val="0"/>
          <w:highlight w:val="green"/>
        </w:rPr>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conforme al numeral 7.6,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38F22730" w:rsidR="00836DA1" w:rsidRDefault="00000000">
      <w:pPr>
        <w:pStyle w:val="SubtituloDONI"/>
        <w:spacing w:line="276" w:lineRule="auto"/>
        <w:ind w:left="851"/>
        <w:rPr>
          <w:b w:val="0"/>
          <w:bCs w:val="0"/>
        </w:rPr>
      </w:pPr>
      <w:r>
        <w:rPr>
          <w:b w:val="0"/>
          <w:bCs w:val="0"/>
          <w:color w:val="000000"/>
          <w:highlight w:val="green"/>
        </w:rPr>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lastRenderedPageBreak/>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48BCADDA" w:rsidR="0018147B" w:rsidRDefault="00000000">
      <w:pPr>
        <w:pStyle w:val="SubtituloDONI"/>
        <w:spacing w:line="276" w:lineRule="auto"/>
        <w:ind w:left="851"/>
        <w:rPr>
          <w:b w:val="0"/>
          <w:bCs w:val="0"/>
        </w:rPr>
      </w:pPr>
      <w:r>
        <w:rPr>
          <w:b w:val="0"/>
          <w:bCs w:val="0"/>
        </w:rPr>
        <w:t>7.8</w:t>
      </w:r>
      <w:r>
        <w:rPr>
          <w:b w:val="0"/>
          <w:bCs w:val="0"/>
        </w:rPr>
        <w:tab/>
      </w:r>
      <w:r>
        <w:rPr>
          <w:b w:val="0"/>
          <w:bCs w:val="0"/>
          <w:highlight w:val="green"/>
        </w:rPr>
        <w:t>Las referencias a normas técnicas, a procedimientos, a metodologías y a instrumentos de gestión institucionales aplican a sus versiones vigentes o a las que las sustituyan. Esta regla no alcanza a las referencias a artículos y literales del Reglamento de Organización y Funciones. Tampoco alcanza a los casos en que una norma de rango superior fija la versión aplicable. Cuando la versión vigente modifique la numeración interna citada, la referencia se entiende hecha a la disposición equivalente.</w:t>
      </w:r>
    </w:p>
    <w:p w14:paraId="5617D77E" w14:textId="668AAD48" w:rsidR="0018147B" w:rsidRDefault="00000000" w:rsidP="00174519">
      <w:pPr>
        <w:pStyle w:val="SubtituloDONI"/>
        <w:spacing w:line="276" w:lineRule="auto"/>
        <w:ind w:left="851"/>
        <w:rPr>
          <w:b w:val="0"/>
          <w:bCs w:val="0"/>
        </w:rPr>
      </w:pPr>
      <w:r>
        <w:rPr>
          <w:b w:val="0"/>
          <w:bCs w:val="0"/>
          <w:highlight w:val="green"/>
        </w:rPr>
        <w:t>7.9</w:t>
      </w:r>
      <w:r>
        <w:rPr>
          <w:b w:val="0"/>
          <w:bCs w:val="0"/>
          <w:highlight w:val="green"/>
        </w:rPr>
        <w:tab/>
        <w:t>El detalle de aplicación de los Anexos (los formatos, los criterios de registro, los catálogos de valores y los indicadores operativos, así como los campos adicionales que resulten necesarios) se establece en los documentos normativos institucionales de menor rango previstos en el numeral 7.6, que las unidades competentes actualizan sin requerir la modificación de la presente directiva. Dichos documentos no suprimen ni reducen los campos ni los contenidos mínimos que los Anexos establecen.</w:t>
      </w:r>
    </w:p>
    <w:p w14:paraId="6BB2EF90" w14:textId="0AE33180"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Resolución Ministerial. </w:t>
      </w:r>
      <w:r>
        <w:rPr>
          <w:b w:val="0"/>
          <w:bCs w:val="0"/>
          <w:highlight w:val="green"/>
        </w:rPr>
        <w:t>En tanto no se emitan dichos lineamientos y no se designe al OIA, el Coordinador designado conforme al numeral 7.3 ejerce las funciones de coordinación técnica en materia de IA. Designado el OIA, la coordinación de la Comisión de Gobierno de IA recae en él, salvo que los lineamientos de la SGTD-PCM dispongan una articulación distinta. La Comisión de Gobierno de IA evalúa su articulación conforme a dichos lineamientos y propone al CGTD los ajustes que correspondan.</w:t>
      </w:r>
    </w:p>
    <w:p w14:paraId="4A9D4BA4" w14:textId="519B53C3" w:rsidR="000153F0" w:rsidRDefault="00000000">
      <w:pPr>
        <w:pStyle w:val="SubtituloDONI"/>
        <w:spacing w:line="276" w:lineRule="auto"/>
        <w:ind w:left="851"/>
        <w:rPr>
          <w:b w:val="0"/>
          <w:bCs w:val="0"/>
        </w:rPr>
      </w:pPr>
      <w:r>
        <w:rPr>
          <w:b w:val="0"/>
          <w:bCs w:val="0"/>
          <w:highlight w:val="yellow"/>
        </w:rPr>
        <w:t>7.11</w:t>
      </w:r>
      <w:r>
        <w:rPr>
          <w:b w:val="0"/>
          <w:bCs w:val="0"/>
          <w:highlight w:val="yellow"/>
        </w:rPr>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La Comisión de Gobierno de IA informa al CGTD, en el informe trimestral del numeral 6.9.5, el estado de las condiciones previstas en el presente numeral.</w:t>
      </w:r>
    </w:p>
    <w:p w14:paraId="7EBB5326" w14:textId="3A404617" w:rsidR="002555BF" w:rsidRPr="002555BF" w:rsidRDefault="002555BF" w:rsidP="002555BF">
      <w:pPr>
        <w:pStyle w:val="SubtituloDONI"/>
        <w:spacing w:line="276" w:lineRule="auto"/>
        <w:ind w:left="851" w:hanging="709"/>
        <w:rPr>
          <w:b w:val="0"/>
          <w:bCs w:val="0"/>
          <w:highlight w:val="green"/>
        </w:rPr>
      </w:pPr>
      <w:r>
        <w:rPr>
          <w:b w:val="0"/>
          <w:bCs w:val="0"/>
          <w:highlight w:val="green"/>
        </w:rPr>
        <w:lastRenderedPageBreak/>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5A18DFFE" w14:textId="5103729B" w:rsidR="00863A18" w:rsidRPr="00923C59" w:rsidRDefault="004F49BB" w:rsidP="0029383A">
      <w:pPr>
        <w:spacing w:line="276" w:lineRule="auto"/>
        <w:rPr>
          <w:rFonts w:ascii="Arial" w:hAnsi="Arial" w:cs="Arial"/>
        </w:rPr>
      </w:pPr>
      <w:r>
        <w:rPr>
          <w:rFonts w:ascii="Arial" w:eastAsia="Arial" w:hAnsi="Arial" w:cs="Arial"/>
          <w:b/>
          <w:bCs/>
          <w:color w:val="000000"/>
        </w:rPr>
        <w:br w:type="page"/>
      </w:r>
      <w:r>
        <w:rPr>
          <w:rFonts w:ascii="Arial" w:eastAsia="Arial" w:hAnsi="Arial" w:cs="Arial"/>
          <w:b/>
          <w:bCs/>
          <w:color w:val="000000"/>
        </w:rPr>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Pr>
                <w:rFonts w:ascii="Arial" w:eastAsia="Arial" w:hAnsi="Arial" w:cs="Arial"/>
              </w:rPr>
              <w:t>Uso indebido (Art. 23), Alto (Art. 24) o Aceptable (Art. 22.2).</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16350B"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 xml:space="preserve">Human-in-the-loop,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lastRenderedPageBreak/>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Pr>
                <w:rFonts w:ascii="Arial" w:eastAsia="Arial" w:hAnsi="Arial" w:cs="Arial"/>
                <w:b/>
                <w:bCs/>
              </w:rPr>
              <w:t>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se efectúa en la etapa 5 del numeral 6.1.1, con anterioridad al despliegue.</w:t>
            </w:r>
          </w:p>
        </w:tc>
      </w:tr>
      <w:tr w:rsidR="002B0710" w:rsidRPr="00923C59" w14:paraId="23D13D4B"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9744CC" w14:textId="20BAB29E"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372857" w14:textId="17F26029"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3708B" w14:textId="2EC9491A"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6EA856A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0C8B53" w14:textId="0F0DF14F"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C5FF" w14:textId="273A7516"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D8F1E" w14:textId="77C4A338"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el numeral 6.5.7, fecha en que se efectuó y, cuando el código no resulte publicable, la justificación legal de la restricción.</w:t>
            </w:r>
          </w:p>
        </w:tc>
      </w:tr>
      <w:tr w:rsidR="002B0710" w:rsidRPr="00923C59" w14:paraId="3D4C741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7B" w14:textId="73D4C0D2"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14" w14:textId="51C3B168"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4C" w14:textId="6A9151AF"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3D4C74B2" w14:textId="777777B3"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B4" w14:textId="73D4C0B5"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B6" w14:textId="51C3B1B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B8" w14:textId="6A9151B9"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3C834C6F"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AE976C9" w14:textId="076B5AB3"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65466B3F"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RLIA, protección de datos personales y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015A194B"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771AACE6" w14:textId="177813A3"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5567F002"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Pr>
          <w:rFonts w:ascii="Arial" w:hAnsi="Arial" w:cs="Arial"/>
          <w:highlight w:val="green"/>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2 — Necesidad y pertinencia del uso de IA:</w:t>
      </w:r>
    </w:p>
    <w:p w14:paraId="2ABECD53"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17E05AAF" w14:textId="016F6D3F"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Alternativa sin inteligencia artificial: describir la solución basada en reglas, 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Costo de gobernanza previsto (monitoreo, reentrenamiento, supervisión humana y evaluación periódica)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Sección 3 — 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Punto del proceso en que interviene el SBIA y momento en que un funcionario conoce su resultado.</w:t>
      </w:r>
    </w:p>
    <w:p w14:paraId="77DBA450" w14:textId="31B8CBF9"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t>Sección 4 — Datos:</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lastRenderedPageBreak/>
        <w:t>Datos requeridos: fuentes, tipos y presencia de datos personales o de información sujeta 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5 — Efecto sobre las personas y los procesos:</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Efecto del resultado del SBIA en derechos, obligaciones o en la atención de los 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Clasificación de riesgo preliminar sugerida por el propietario del caso de uso conforme al 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Sección 6 — Firmas:</w:t>
      </w:r>
    </w:p>
    <w:p w14:paraId="7ABB4F11"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576F94A7" w14:textId="572C4FB4"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4B1C8D62" w14:textId="21CE2D88"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361B9" w14:textId="77777777" w:rsidR="00FB005B" w:rsidRDefault="00FB005B">
      <w:pPr>
        <w:spacing w:after="0" w:line="240" w:lineRule="auto"/>
      </w:pPr>
      <w:r>
        <w:separator/>
      </w:r>
    </w:p>
  </w:endnote>
  <w:endnote w:type="continuationSeparator" w:id="0">
    <w:p w14:paraId="43FE59A8" w14:textId="77777777" w:rsidR="00FB005B" w:rsidRDefault="00FB00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FA979" w14:textId="77777777" w:rsidR="00FB005B" w:rsidRDefault="00FB005B">
      <w:pPr>
        <w:spacing w:after="0" w:line="240" w:lineRule="auto"/>
      </w:pPr>
      <w:r>
        <w:separator/>
      </w:r>
    </w:p>
  </w:footnote>
  <w:footnote w:type="continuationSeparator" w:id="0">
    <w:p w14:paraId="4EBA1935" w14:textId="77777777" w:rsidR="00FB005B" w:rsidRDefault="00FB005B">
      <w:pPr>
        <w:spacing w:after="0" w:line="240" w:lineRule="auto"/>
      </w:pPr>
      <w:r>
        <w:continuationSeparator/>
      </w:r>
    </w:p>
  </w:footnote>
  <w:footnote w:id="1">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997340142">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996500697">
    <w:abstractNumId w:val="8"/>
  </w:num>
  <w:num w:numId="36" w16cid:durableId="955452418">
    <w:abstractNumId w:val="30"/>
  </w:num>
  <w:num w:numId="37" w16cid:durableId="856163588">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ctiveWritingStyle w:appName="MSWord" w:lang="es-PE" w:vendorID="64" w:dllVersion="0" w:nlCheck="1" w:checkStyle="0"/>
  <w:activeWritingStyle w:appName="MSWord" w:lang="en-US" w:vendorID="64" w:dllVersion="0" w:nlCheck="1" w:checkStyle="0"/>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22E1"/>
    <w:rsid w:val="00141E9A"/>
    <w:rsid w:val="001437F1"/>
    <w:rsid w:val="00153C2B"/>
    <w:rsid w:val="001556C1"/>
    <w:rsid w:val="001609F8"/>
    <w:rsid w:val="0016350B"/>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206379"/>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7233"/>
    <w:rsid w:val="00567C78"/>
    <w:rsid w:val="00570612"/>
    <w:rsid w:val="00577C4C"/>
    <w:rsid w:val="00590BAB"/>
    <w:rsid w:val="00594919"/>
    <w:rsid w:val="005B30EE"/>
    <w:rsid w:val="005B3F5B"/>
    <w:rsid w:val="005C21BA"/>
    <w:rsid w:val="005C3A70"/>
    <w:rsid w:val="005C4042"/>
    <w:rsid w:val="005C67EA"/>
    <w:rsid w:val="005D216F"/>
    <w:rsid w:val="005D5880"/>
    <w:rsid w:val="005D754C"/>
    <w:rsid w:val="005F24C2"/>
    <w:rsid w:val="005F3265"/>
    <w:rsid w:val="0060099A"/>
    <w:rsid w:val="00603B7D"/>
    <w:rsid w:val="00617198"/>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80506"/>
    <w:rsid w:val="00F9075F"/>
    <w:rsid w:val="00F91DE2"/>
    <w:rsid w:val="00F931FB"/>
    <w:rsid w:val="00F936FD"/>
    <w:rsid w:val="00FA09F7"/>
    <w:rsid w:val="00FA4DEA"/>
    <w:rsid w:val="00FA5FEB"/>
    <w:rsid w:val="00FB005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10573</TotalTime>
  <Pages>51</Pages>
  <Words>17510</Words>
  <Characters>96308</Characters>
  <Application>Microsoft Office Word</Application>
  <DocSecurity>0</DocSecurity>
  <Lines>802</Lines>
  <Paragraphs>227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247</cp:revision>
  <dcterms:created xsi:type="dcterms:W3CDTF">2026-03-23T21:09:00Z</dcterms:created>
  <dcterms:modified xsi:type="dcterms:W3CDTF">2026-08-28T22:26:00Z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