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12EDA" w14:textId="77777777" w:rsidR="0060099A" w:rsidRPr="00863A18" w:rsidRDefault="0060099A" w:rsidP="00ED2DC8">
      <w:pPr>
        <w:spacing w:after="0" w:line="240" w:lineRule="auto"/>
        <w:jc w:val="center"/>
        <w:rPr>
          <w:rFonts w:ascii="Arial" w:hAnsi="Arial" w:cs="Arial"/>
        </w:rPr>
      </w:pPr>
      <w:bookmarkStart w:id="0" w:name="_Hlk8641159"/>
    </w:p>
    <w:bookmarkEnd w:id="0"/>
    <w:p w14:paraId="1BCF1B1E" w14:textId="77777777" w:rsidR="0060099A" w:rsidRPr="00863A18" w:rsidRDefault="0060099A" w:rsidP="00ED2DC8">
      <w:pPr>
        <w:spacing w:after="0" w:line="240" w:lineRule="auto"/>
        <w:jc w:val="center"/>
        <w:rPr>
          <w:rFonts w:ascii="Arial" w:hAnsi="Arial" w:cs="Arial"/>
        </w:rPr>
      </w:pPr>
    </w:p>
    <w:p w14:paraId="73501108" w14:textId="77777777" w:rsidR="0060099A" w:rsidRPr="00863A18" w:rsidRDefault="0060099A" w:rsidP="00ED2DC8">
      <w:pPr>
        <w:spacing w:after="0" w:line="240" w:lineRule="auto"/>
        <w:jc w:val="center"/>
        <w:rPr>
          <w:rFonts w:ascii="Arial" w:hAnsi="Arial" w:cs="Arial"/>
        </w:rPr>
      </w:pPr>
    </w:p>
    <w:p w14:paraId="61AA5684" w14:textId="77777777" w:rsidR="0060099A" w:rsidRPr="00863A18" w:rsidRDefault="0060099A" w:rsidP="00ED2DC8">
      <w:pPr>
        <w:spacing w:after="0" w:line="240" w:lineRule="auto"/>
        <w:jc w:val="center"/>
        <w:rPr>
          <w:rFonts w:ascii="Arial" w:hAnsi="Arial" w:cs="Arial"/>
        </w:rPr>
      </w:pPr>
    </w:p>
    <w:p w14:paraId="5EC5F479" w14:textId="77777777" w:rsidR="0060099A" w:rsidRPr="00863A18" w:rsidRDefault="0060099A" w:rsidP="00ED2DC8">
      <w:pPr>
        <w:spacing w:after="0" w:line="240" w:lineRule="auto"/>
        <w:jc w:val="center"/>
        <w:rPr>
          <w:rFonts w:ascii="Arial" w:hAnsi="Arial" w:cs="Arial"/>
        </w:rPr>
      </w:pPr>
    </w:p>
    <w:p w14:paraId="6B409CB9"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6EA6AC39" wp14:editId="0B29F395">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28C94C16" w14:textId="77777777" w:rsidR="0060099A" w:rsidRPr="00863A18" w:rsidRDefault="0060099A" w:rsidP="00ED2DC8">
      <w:pPr>
        <w:spacing w:after="0" w:line="240" w:lineRule="auto"/>
        <w:jc w:val="center"/>
        <w:rPr>
          <w:rFonts w:ascii="Arial" w:hAnsi="Arial" w:cs="Arial"/>
          <w:b/>
          <w:bCs/>
        </w:rPr>
      </w:pPr>
    </w:p>
    <w:p w14:paraId="4D78AA9A" w14:textId="77777777" w:rsidR="0060099A" w:rsidRPr="00863A18" w:rsidRDefault="0060099A" w:rsidP="00ED2DC8">
      <w:pPr>
        <w:spacing w:after="0" w:line="240" w:lineRule="auto"/>
        <w:jc w:val="center"/>
        <w:rPr>
          <w:rFonts w:ascii="Arial" w:hAnsi="Arial" w:cs="Arial"/>
          <w:b/>
          <w:bCs/>
        </w:rPr>
      </w:pPr>
    </w:p>
    <w:p w14:paraId="2935C225" w14:textId="77777777" w:rsidR="00521B40" w:rsidRPr="00863A18" w:rsidRDefault="00521B40" w:rsidP="00ED2DC8">
      <w:pPr>
        <w:spacing w:after="0" w:line="240" w:lineRule="auto"/>
        <w:jc w:val="right"/>
        <w:rPr>
          <w:rFonts w:ascii="Arial" w:hAnsi="Arial" w:cs="Arial"/>
          <w:b/>
          <w:bCs/>
          <w:sz w:val="56"/>
          <w:szCs w:val="56"/>
        </w:rPr>
      </w:pPr>
    </w:p>
    <w:p w14:paraId="0E65C403" w14:textId="77777777" w:rsidR="00521B40" w:rsidRPr="00863A18" w:rsidRDefault="00521B40" w:rsidP="00ED2DC8">
      <w:pPr>
        <w:spacing w:after="0" w:line="240" w:lineRule="auto"/>
        <w:jc w:val="right"/>
        <w:rPr>
          <w:rFonts w:ascii="Arial" w:hAnsi="Arial" w:cs="Arial"/>
          <w:b/>
          <w:bCs/>
          <w:sz w:val="56"/>
          <w:szCs w:val="56"/>
        </w:rPr>
      </w:pPr>
    </w:p>
    <w:p w14:paraId="711D4DE6" w14:textId="77777777" w:rsidR="00521B40" w:rsidRPr="00863A18" w:rsidRDefault="00521B40" w:rsidP="00ED2DC8">
      <w:pPr>
        <w:spacing w:after="0" w:line="240" w:lineRule="auto"/>
        <w:jc w:val="right"/>
        <w:rPr>
          <w:rFonts w:ascii="Arial" w:hAnsi="Arial" w:cs="Arial"/>
          <w:b/>
          <w:bCs/>
          <w:sz w:val="56"/>
          <w:szCs w:val="56"/>
        </w:rPr>
      </w:pPr>
    </w:p>
    <w:p w14:paraId="0C427435"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6C70CE46" w14:textId="77777777" w:rsidR="0060099A" w:rsidRPr="00863A18" w:rsidRDefault="0060099A" w:rsidP="00ED2DC8">
      <w:pPr>
        <w:pStyle w:val="Versin"/>
        <w:jc w:val="right"/>
        <w:rPr>
          <w:rFonts w:ascii="Arial" w:hAnsi="Arial" w:cs="Arial"/>
        </w:rPr>
      </w:pPr>
      <w:r>
        <w:rPr>
          <w:rFonts w:ascii="Arial" w:hAnsi="Arial" w:cs="Arial"/>
        </w:rPr>
        <w:t>Versión 1.0</w:t>
      </w:r>
    </w:p>
    <w:p w14:paraId="3EA63609" w14:textId="77777777" w:rsidR="0060099A" w:rsidRPr="00863A18" w:rsidRDefault="0060099A" w:rsidP="00ED2DC8">
      <w:pPr>
        <w:spacing w:after="0" w:line="240" w:lineRule="auto"/>
        <w:jc w:val="right"/>
        <w:rPr>
          <w:rFonts w:ascii="Arial" w:eastAsiaTheme="minorHAnsi" w:hAnsi="Arial" w:cs="Arial"/>
          <w:b/>
          <w:sz w:val="56"/>
          <w:szCs w:val="56"/>
        </w:rPr>
      </w:pPr>
    </w:p>
    <w:p w14:paraId="0973D29C"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63724BC1" wp14:editId="32D126E5">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63724BC1"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" strokeweight="2.25pt">
                <v:shadow offset="6pt,6pt"/>
                <v:textbo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3B636E42" w14:textId="77777777" w:rsidR="0060099A" w:rsidRPr="00863A18" w:rsidRDefault="0060099A" w:rsidP="00ED2DC8">
      <w:pPr>
        <w:spacing w:after="0" w:line="240" w:lineRule="auto"/>
        <w:jc w:val="center"/>
        <w:rPr>
          <w:rFonts w:ascii="Arial" w:eastAsia="Calibri" w:hAnsi="Arial" w:cs="Arial"/>
        </w:rPr>
      </w:pPr>
    </w:p>
    <w:p w14:paraId="7089ADAB" w14:textId="77777777" w:rsidR="0060099A" w:rsidRPr="00863A18" w:rsidRDefault="0060099A" w:rsidP="00ED2DC8">
      <w:pPr>
        <w:spacing w:after="0" w:line="240" w:lineRule="auto"/>
        <w:jc w:val="center"/>
        <w:rPr>
          <w:rFonts w:ascii="Arial" w:eastAsia="Calibri" w:hAnsi="Arial" w:cs="Arial"/>
        </w:rPr>
      </w:pPr>
    </w:p>
    <w:p w14:paraId="6CD87533" w14:textId="77777777" w:rsidR="0060099A" w:rsidRPr="00863A18" w:rsidRDefault="0060099A" w:rsidP="00ED2DC8">
      <w:pPr>
        <w:spacing w:after="0" w:line="240" w:lineRule="auto"/>
        <w:jc w:val="center"/>
        <w:rPr>
          <w:rFonts w:ascii="Arial" w:eastAsia="Calibri" w:hAnsi="Arial" w:cs="Arial"/>
        </w:rPr>
      </w:pPr>
    </w:p>
    <w:p w14:paraId="47151DF0" w14:textId="77777777" w:rsidR="0060099A" w:rsidRPr="00863A18" w:rsidRDefault="0060099A" w:rsidP="00ED2DC8">
      <w:pPr>
        <w:spacing w:after="0" w:line="240" w:lineRule="auto"/>
        <w:jc w:val="center"/>
        <w:rPr>
          <w:rFonts w:ascii="Arial" w:eastAsia="Calibri" w:hAnsi="Arial" w:cs="Arial"/>
        </w:rPr>
      </w:pPr>
    </w:p>
    <w:p w14:paraId="102A5622" w14:textId="77777777" w:rsidR="00521B40" w:rsidRPr="00863A18" w:rsidRDefault="00521B40" w:rsidP="00ED2DC8">
      <w:pPr>
        <w:spacing w:after="0" w:line="240" w:lineRule="auto"/>
        <w:jc w:val="center"/>
        <w:rPr>
          <w:rFonts w:ascii="Arial" w:eastAsia="Calibri" w:hAnsi="Arial" w:cs="Arial"/>
        </w:rPr>
      </w:pPr>
    </w:p>
    <w:p w14:paraId="433716F1" w14:textId="77777777" w:rsidR="00521B40" w:rsidRPr="00863A18" w:rsidRDefault="00521B40" w:rsidP="00ED2DC8">
      <w:pPr>
        <w:spacing w:after="0" w:line="240" w:lineRule="auto"/>
        <w:jc w:val="center"/>
        <w:rPr>
          <w:rFonts w:ascii="Arial" w:eastAsia="Calibri" w:hAnsi="Arial" w:cs="Arial"/>
        </w:rPr>
      </w:pPr>
    </w:p>
    <w:p w14:paraId="3377E50E" w14:textId="77777777" w:rsidR="004503ED" w:rsidRDefault="004503ED" w:rsidP="00ED2DC8">
      <w:pPr>
        <w:spacing w:after="0" w:line="240" w:lineRule="auto"/>
        <w:jc w:val="center"/>
        <w:rPr>
          <w:rFonts w:ascii="Arial" w:eastAsia="Calibri" w:hAnsi="Arial" w:cs="Arial"/>
        </w:rPr>
      </w:pPr>
    </w:p>
    <w:p w14:paraId="199B2B32" w14:textId="77777777" w:rsidR="004503ED" w:rsidRPr="00863A18" w:rsidRDefault="004503ED" w:rsidP="00ED2DC8">
      <w:pPr>
        <w:spacing w:after="0" w:line="240" w:lineRule="auto"/>
        <w:jc w:val="center"/>
        <w:rPr>
          <w:rFonts w:ascii="Arial" w:eastAsia="Calibri" w:hAnsi="Arial" w:cs="Arial"/>
        </w:rPr>
      </w:pPr>
    </w:p>
    <w:p w14:paraId="70D4E039"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31AADA5A"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02877B0D" w14:textId="77777777" w:rsidR="0060099A" w:rsidRPr="00863A18" w:rsidRDefault="0060099A" w:rsidP="00ED2DC8">
      <w:pPr>
        <w:spacing w:after="0" w:line="240" w:lineRule="auto"/>
        <w:jc w:val="center"/>
        <w:rPr>
          <w:rFonts w:ascii="Arial" w:hAnsi="Arial" w:cs="Arial"/>
          <w:b/>
          <w:bCs/>
          <w:sz w:val="32"/>
          <w:szCs w:val="32"/>
        </w:rPr>
      </w:pPr>
    </w:p>
    <w:p w14:paraId="228858B9"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63C0711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68C0A0C7"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0E4EF6C" w14:textId="77777777" w:rsidR="00833450" w:rsidRPr="00863A18" w:rsidRDefault="00833450" w:rsidP="00B23382">
      <w:pPr>
        <w:spacing w:after="0" w:line="240" w:lineRule="auto"/>
        <w:jc w:val="center"/>
        <w:rPr>
          <w:rFonts w:ascii="Arial" w:hAnsi="Arial" w:cs="Arial"/>
        </w:rPr>
      </w:pPr>
    </w:p>
    <w:p w14:paraId="29C1E91D" w14:textId="77777777"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r>
      <w:r>
        <w:rPr>
          <w:rFonts w:ascii="Arial" w:hAnsi="Arial" w:cs="Arial"/>
          <w:bCs/>
          <w:noProof w:val="0"/>
          <w:szCs w:val="22"/>
        </w:rPr>
        <w:instrText xml:space="preserve"> TOC \o "1-3" \h \z \u </w:instrText>
      </w:r>
      <w:r>
        <w:rPr>
          <w:rFonts w:ascii="Arial" w:hAnsi="Arial" w:cs="Arial"/>
          <w:bCs/>
          <w:noProof w:val="0"/>
          <w:szCs w:val="22"/>
        </w:rPr>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r>
        <w:r>
          <w:rPr>
            <w:webHidden/>
          </w:rPr>
          <w:fldChar w:fldCharType="begin"/>
        </w:r>
        <w:r>
          <w:rPr>
            <w:webHidden/>
          </w:rPr>
          <w:instrText xml:space="preserve"> PAGEREF _Toc235003961 \h </w:instrText>
        </w:r>
        <w:r>
          <w:rPr>
            <w:webHidden/>
          </w:rPr>
        </w:r>
        <w:r>
          <w:rPr>
            <w:webHidden/>
          </w:rPr>
          <w:fldChar w:fldCharType="separate"/>
        </w:r>
        <w:r>
          <w:rPr>
            <w:webHidden/>
          </w:rPr>
          <w:t>4</w:t>
        </w:r>
        <w:r>
          <w:rPr>
            <w:webHidden/>
          </w:rPr>
          <w:fldChar w:fldCharType="end"/>
        </w:r>
      </w:hyperlink>
    </w:p>
    <w:p w14:paraId="0F18C013" w14:textId="77777777"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r>
        <w:r>
          <w:rPr>
            <w:webHidden/>
          </w:rPr>
          <w:fldChar w:fldCharType="begin"/>
        </w:r>
        <w:r>
          <w:rPr>
            <w:webHidden/>
          </w:rPr>
          <w:instrText xml:space="preserve"> PAGEREF _Toc235003962 \h </w:instrText>
        </w:r>
        <w:r>
          <w:rPr>
            <w:webHidden/>
          </w:rPr>
        </w:r>
        <w:r>
          <w:rPr>
            <w:webHidden/>
          </w:rPr>
          <w:fldChar w:fldCharType="separate"/>
        </w:r>
        <w:r>
          <w:rPr>
            <w:webHidden/>
          </w:rPr>
          <w:t>4</w:t>
        </w:r>
        <w:r>
          <w:rPr>
            <w:webHidden/>
          </w:rPr>
          <w:fldChar w:fldCharType="end"/>
        </w:r>
      </w:hyperlink>
    </w:p>
    <w:p w14:paraId="438D57C4" w14:textId="77777777"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r>
        <w:r>
          <w:rPr>
            <w:webHidden/>
          </w:rPr>
          <w:fldChar w:fldCharType="begin"/>
        </w:r>
        <w:r>
          <w:rPr>
            <w:webHidden/>
          </w:rPr>
          <w:instrText xml:space="preserve"> PAGEREF _Toc235003963 \h </w:instrText>
        </w:r>
        <w:r>
          <w:rPr>
            <w:webHidden/>
          </w:rPr>
        </w:r>
        <w:r>
          <w:rPr>
            <w:webHidden/>
          </w:rPr>
          <w:fldChar w:fldCharType="separate"/>
        </w:r>
        <w:r>
          <w:rPr>
            <w:webHidden/>
          </w:rPr>
          <w:t>4</w:t>
        </w:r>
        <w:r>
          <w:rPr>
            <w:webHidden/>
          </w:rPr>
          <w:fldChar w:fldCharType="end"/>
        </w:r>
      </w:hyperlink>
    </w:p>
    <w:p w14:paraId="206CE341" w14:textId="77777777"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r>
        <w:r>
          <w:rPr>
            <w:webHidden/>
          </w:rPr>
          <w:fldChar w:fldCharType="begin"/>
        </w:r>
        <w:r>
          <w:rPr>
            <w:webHidden/>
          </w:rPr>
          <w:instrText xml:space="preserve"> PAGEREF _Toc235003964 \h </w:instrText>
        </w:r>
        <w:r>
          <w:rPr>
            <w:webHidden/>
          </w:rPr>
        </w:r>
        <w:r>
          <w:rPr>
            <w:webHidden/>
          </w:rPr>
          <w:fldChar w:fldCharType="separate"/>
        </w:r>
        <w:r>
          <w:rPr>
            <w:webHidden/>
          </w:rPr>
          <w:t>6</w:t>
        </w:r>
        <w:r>
          <w:rPr>
            <w:webHidden/>
          </w:rPr>
          <w:fldChar w:fldCharType="end"/>
        </w:r>
      </w:hyperlink>
    </w:p>
    <w:p w14:paraId="0C57016B" w14:textId="77777777"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r>
        <w:r>
          <w:rPr>
            <w:webHidden/>
          </w:rPr>
          <w:fldChar w:fldCharType="begin"/>
        </w:r>
        <w:r>
          <w:rPr>
            <w:webHidden/>
          </w:rPr>
          <w:instrText xml:space="preserve"> PAGEREF _Toc235003965 \h </w:instrText>
        </w:r>
        <w:r>
          <w:rPr>
            <w:webHidden/>
          </w:rPr>
        </w:r>
        <w:r>
          <w:rPr>
            <w:webHidden/>
          </w:rPr>
          <w:fldChar w:fldCharType="separate"/>
        </w:r>
        <w:r>
          <w:rPr>
            <w:webHidden/>
          </w:rPr>
          <w:t>7</w:t>
        </w:r>
        <w:r>
          <w:rPr>
            <w:webHidden/>
          </w:rPr>
          <w:fldChar w:fldCharType="end"/>
        </w:r>
      </w:hyperlink>
    </w:p>
    <w:p w14:paraId="00DE2052" w14:textId="77777777"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r>
        <w:r>
          <w:rPr>
            <w:webHidden/>
          </w:rPr>
          <w:fldChar w:fldCharType="begin"/>
        </w:r>
        <w:r>
          <w:rPr>
            <w:webHidden/>
          </w:rPr>
          <w:instrText xml:space="preserve"> PAGEREF _Toc235003966 \h </w:instrText>
        </w:r>
        <w:r>
          <w:rPr>
            <w:webHidden/>
          </w:rPr>
        </w:r>
        <w:r>
          <w:rPr>
            <w:webHidden/>
          </w:rPr>
          <w:fldChar w:fldCharType="separate"/>
        </w:r>
        <w:r>
          <w:rPr>
            <w:webHidden/>
          </w:rPr>
          <w:t>10</w:t>
        </w:r>
        <w:r>
          <w:rPr>
            <w:webHidden/>
          </w:rPr>
          <w:fldChar w:fldCharType="end"/>
        </w:r>
      </w:hyperlink>
    </w:p>
    <w:p w14:paraId="648A90FA" w14:textId="77777777"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r>
        <w:r>
          <w:rPr>
            <w:webHidden/>
          </w:rPr>
          <w:fldChar w:fldCharType="begin"/>
        </w:r>
        <w:r>
          <w:rPr>
            <w:webHidden/>
          </w:rPr>
          <w:instrText xml:space="preserve"> PAGEREF _Toc235003967 \h </w:instrText>
        </w:r>
        <w:r>
          <w:rPr>
            <w:webHidden/>
          </w:rPr>
        </w:r>
        <w:r>
          <w:rPr>
            <w:webHidden/>
          </w:rPr>
          <w:fldChar w:fldCharType="separate"/>
        </w:r>
        <w:r>
          <w:rPr>
            <w:webHidden/>
          </w:rPr>
          <w:t>21</w:t>
        </w:r>
        <w:r>
          <w:rPr>
            <w:webHidden/>
          </w:rPr>
          <w:fldChar w:fldCharType="end"/>
        </w:r>
      </w:hyperlink>
    </w:p>
    <w:p w14:paraId="32E8A096" w14:textId="77777777"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r>
        <w:r>
          <w:rPr>
            <w:webHidden/>
          </w:rPr>
          <w:fldChar w:fldCharType="begin"/>
        </w:r>
        <w:r>
          <w:rPr>
            <w:webHidden/>
          </w:rPr>
          <w:instrText xml:space="preserve"> PAGEREF _Toc235003968 \h </w:instrText>
        </w:r>
        <w:r>
          <w:rPr>
            <w:webHidden/>
          </w:rPr>
        </w:r>
        <w:r>
          <w:rPr>
            <w:webHidden/>
          </w:rPr>
          <w:fldChar w:fldCharType="separate"/>
        </w:r>
        <w:r>
          <w:rPr>
            <w:webHidden/>
          </w:rPr>
          <w:t>22</w:t>
        </w:r>
        <w:r>
          <w:rPr>
            <w:webHidden/>
          </w:rPr>
          <w:fldChar w:fldCharType="end"/>
        </w:r>
      </w:hyperlink>
    </w:p>
    <w:p w14:paraId="216570A9"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4B9FD8E3"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E505FF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7C7E8F5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1E4D420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14EA456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7A766CB7"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2C35AD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225E4A4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1654057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GSI: Gerencia de Seguridad de la Información</w:t>
      </w:r>
    </w:p>
    <w:p w14:paraId="3063971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77A8A299"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1B72C5D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1D1C7F2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6945ED67"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79BEB4D7" w14:textId="5EE47D4B" w:rsidR="00BA798A" w:rsidRPr="00C733EA" w:rsidRDefault="00BA798A">
      <w:pPr>
        <w:pStyle w:val="Prrafodelista"/>
        <w:numPr>
          <w:ilvl w:val="0"/>
          <w:numId w:val="18"/>
        </w:numPr>
        <w:spacing w:line="276" w:lineRule="auto"/>
        <w:rPr>
          <w:b w:val="0"/>
          <w:bCs w:val="0"/>
          <w:color w:val="000000"/>
        </w:rPr>
      </w:pPr>
      <w:r w:rsidRPr="00BA798A">
        <w:rPr>
          <w:b w:val="0"/>
          <w:bCs w:val="0"/>
          <w:color w:val="000000"/>
          <w:highlight w:val="lightGray"/>
        </w:rPr>
        <w:t>METGEP: Metodología para la Gestión por Procesos</w:t>
      </w:r>
    </w:p>
    <w:p w14:paraId="3AB16F2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MLOps: Operaciones de aprendizaje automático (Machine Learning Operations)</w:t>
      </w:r>
    </w:p>
    <w:p w14:paraId="4401B968"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113291E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5C1399C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76FEC80B"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274D580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5D365B68"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95D895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OSCD: Oficial de Seguridad y Confianza Digital</w:t>
      </w:r>
    </w:p>
    <w:p w14:paraId="646A78F0"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63AE811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389AB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22D2F546"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PDP: Plan de Desarrollo de las Personas</w:t>
      </w:r>
    </w:p>
    <w:p w14:paraId="121851D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PEI: Plan Estratégico Institucional</w:t>
      </w:r>
    </w:p>
    <w:p w14:paraId="4A07EBD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2CF0397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16D8EB8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1ACFC8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043DE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36CC2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1689EA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59C4D35" w14:textId="77777777" w:rsidR="00C733EA" w:rsidRDefault="00C733EA">
      <w:pPr>
        <w:pStyle w:val="Prrafodelista"/>
        <w:numPr>
          <w:ilvl w:val="0"/>
          <w:numId w:val="18"/>
        </w:numPr>
        <w:spacing w:line="276" w:lineRule="auto"/>
        <w:rPr>
          <w:b w:val="0"/>
          <w:bCs w:val="0"/>
          <w:color w:val="000000"/>
        </w:rPr>
      </w:pPr>
      <w:r>
        <w:rPr>
          <w:b w:val="0"/>
          <w:bCs w:val="0"/>
          <w:color w:val="000000"/>
        </w:rPr>
        <w:t>SGIA: Sistema de Gestión de Inteligencia Artificial</w:t>
      </w:r>
    </w:p>
    <w:p w14:paraId="484AB57B"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7521179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1193930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SN: Superintendencia Nacional</w:t>
      </w:r>
    </w:p>
    <w:p w14:paraId="657CB8AD"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7CC5C113"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498CFC40"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B5F0F3" w14:textId="77777777" w:rsidR="0018147B" w:rsidRDefault="00000000">
      <w:pPr>
        <w:spacing w:after="60" w:line="276" w:lineRule="auto"/>
        <w:jc w:val="both"/>
        <w:rPr>
          <w:rFonts w:ascii="Arial" w:hAnsi="Arial" w:cs="Arial"/>
        </w:rPr>
      </w:pPr>
      <w:r>
        <w:rPr>
          <w:rFonts w:ascii="Arial" w:hAnsi="Arial" w:cs="Arial"/>
          <w:highlight w:val="yellow"/>
        </w:rPr>
        <w:t>Establecer las disposiciones para el gobierno, la gestión del ciclo de vida y el uso responsable de los Sistemas Basados en Inteligencia Artificial (SBIA) en la SUNAT, precisando los compromisos establecidos en la Política de Uso Seguro, Responsable y Ético de los SBIA y tomando como marco de referencia la NTP-ISO/IEC 42001:2025, para garantizar su alineamiento con la estrategia institucional, el cumplimiento del marco normativo vigente, la protección de los derechos de los administrados, la reserva tributaria y la seguridad de la información.</w:t>
      </w:r>
    </w:p>
    <w:p w14:paraId="1EE981FB" w14:textId="77777777"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7F2C3CA4" w14:textId="68109912"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r w:rsidR="00DF04A0" w:rsidRPr="00DF04A0">
        <w:rPr>
          <w:rFonts w:ascii="Arial" w:hAnsi="Arial" w:cs="Arial"/>
          <w:color w:val="000000"/>
          <w:highlight w:val="lightGray"/>
        </w:rPr>
        <w:t>Se exceptúa de su alcance al Órgano de Control Institucional, que se rige por las disposiciones del Sistema Nacional de Control.</w:t>
      </w:r>
    </w:p>
    <w:p w14:paraId="5F1F6433"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253E5D9"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77A59031"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2599AA41"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13253C3C"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16847B4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73791B9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08246BC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(29/04/2026), que aprueba la Estrategia Nacional de Inteligencia Artificial (ENIA) 2026-2030.</w:t>
      </w:r>
    </w:p>
    <w:p w14:paraId="7847E8A4"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79B4C79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1412 (13/09/2018), que aprueba la Ley de Gobierno Digital, y sus modificatorias.</w:t>
      </w:r>
    </w:p>
    <w:p w14:paraId="275B1C45"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6D58402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029-2021-PCM (18/02/2021), que aprueba el Reglamento del Decreto Legislativo N.° 1412, y su modificatoria aprobada por Decreto Supremo N.° 098-2025-PCM.</w:t>
      </w:r>
    </w:p>
    <w:p w14:paraId="6DA1339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5C45F12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lastRenderedPageBreak/>
        <w:t>Decreto Legislativo N.° 1053 (27/06/2008), que aprueba la Ley General de Aduanas, y su Reglamento; en lo relativo a la confidencialidad de la información aduanera.</w:t>
      </w:r>
    </w:p>
    <w:p w14:paraId="0241BE1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003-2013-JUS (22/03/2013).</w:t>
      </w:r>
    </w:p>
    <w:p w14:paraId="2F262610"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658F060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27001 vigente, Sistemas de gestión de seguridad de la información — Requisitos.</w:t>
      </w:r>
    </w:p>
    <w:p w14:paraId="3AE67589"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3637D77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27005 vigente, Orientación sobre la gestión de los riesgos de seguridad de la información.</w:t>
      </w:r>
    </w:p>
    <w:p w14:paraId="1750FF9E"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196B03A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040-2023-EF (24/03/2023), que aprueba la Sección Primera del Reglamento de Organización y Funciones (ROF) de la SUNAT, y su modificatoria.</w:t>
      </w:r>
    </w:p>
    <w:p w14:paraId="3977DA6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000081-2023/SUNAT (28/04/2023), que aprueba la Sección Segunda del ROF de la SUNAT, y su modificatoria.</w:t>
      </w:r>
    </w:p>
    <w:p w14:paraId="4603BA14"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18065E5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000125-2024/SUNAT, que designa al Oficial de Gobierno de Datos de la SUNAT.</w:t>
      </w:r>
    </w:p>
    <w:p w14:paraId="475F127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000114-2025/SUNAT (08/04/2025), que designa al Oficial de Seguridad y Confianza Digital de la SUNAT.</w:t>
      </w:r>
    </w:p>
    <w:p w14:paraId="255442AA"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de Superintendencia Nacional Adjunta de Administración y Finanzas N.° 000197-2022-SUNAT/800000 (27/10/2022), que designa al Oficial de Datos Personales de la SUNAT.</w:t>
      </w:r>
    </w:p>
    <w:p w14:paraId="2C8E28A9" w14:textId="77777777" w:rsidR="0080359D" w:rsidRPr="004F49BB" w:rsidRDefault="0080359D">
      <w:pPr>
        <w:pStyle w:val="Prrafodelista"/>
        <w:numPr>
          <w:ilvl w:val="1"/>
          <w:numId w:val="20"/>
        </w:numPr>
        <w:spacing w:line="276" w:lineRule="auto"/>
        <w:ind w:left="709" w:hanging="567"/>
        <w:rPr>
          <w:b w:val="0"/>
          <w:bCs w:val="0"/>
          <w:color w:val="000000"/>
        </w:rPr>
      </w:pPr>
      <w:r>
        <w:rPr>
          <w:b w:val="0"/>
          <w:bCs w:val="0"/>
          <w:color w:val="000000"/>
        </w:rPr>
        <w:t xml:space="preserve">Resolución de Superintendencia </w:t>
      </w:r>
      <w:r>
        <w:rPr>
          <w:b w:val="0"/>
          <w:bCs w:val="0"/>
          <w:color w:val="EE0000"/>
        </w:rPr>
        <w:t>N.° [XXX]-</w:t>
      </w:r>
      <w:r>
        <w:rPr>
          <w:b w:val="0"/>
          <w:bCs w:val="0"/>
          <w:color w:val="000000"/>
        </w:rPr>
        <w:t xml:space="preserve">2026/SUNAT, que aprueba la </w:t>
      </w:r>
      <w:r>
        <w:rPr>
          <w:b w:val="0"/>
          <w:bCs w:val="0"/>
          <w:highlight w:val="yellow"/>
        </w:rPr>
        <w:t>Política de Uso Seguro, Responsable y Ético de los SBIA</w:t>
      </w:r>
      <w:r>
        <w:rPr>
          <w:b w:val="0"/>
          <w:bCs w:val="0"/>
          <w:color w:val="000000"/>
        </w:rPr>
        <w:t xml:space="preserve"> en la SUNAT.</w:t>
      </w:r>
    </w:p>
    <w:p w14:paraId="64BA9802"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Resolución de Oficina N.° 001-2024-SUNAT/1V0000, que aprueba la Metodología para la formulación, aprobación y control de los Documentos Normativos Institucionales (METDONI) Versión 1.4.</w:t>
      </w:r>
    </w:p>
    <w:p w14:paraId="4208E65D" w14:textId="34BB98F2" w:rsidR="00BA798A" w:rsidRPr="00BA798A" w:rsidRDefault="00BA798A">
      <w:pPr>
        <w:pStyle w:val="Prrafodelista"/>
        <w:numPr>
          <w:ilvl w:val="1"/>
          <w:numId w:val="20"/>
        </w:numPr>
        <w:spacing w:line="276" w:lineRule="auto"/>
        <w:ind w:left="709" w:hanging="567"/>
        <w:rPr>
          <w:b w:val="0"/>
          <w:bCs w:val="0"/>
          <w:color w:val="000000"/>
          <w:highlight w:val="lightGray"/>
        </w:rPr>
      </w:pPr>
      <w:r w:rsidRPr="00BA798A">
        <w:rPr>
          <w:b w:val="0"/>
          <w:bCs w:val="0"/>
          <w:color w:val="000000"/>
          <w:highlight w:val="lightGray"/>
        </w:rPr>
        <w:t>Resolución de Oficina N.° 000002-2023-SUNAT/1V0000, que aprueba la Metodología para la Gestión por Procesos (METGEP) Versión 5.</w:t>
      </w:r>
    </w:p>
    <w:p w14:paraId="656682E7" w14:textId="77777777" w:rsidR="00863A18" w:rsidRPr="00923C59" w:rsidRDefault="0033689D" w:rsidP="00B23382">
      <w:pPr>
        <w:spacing w:line="276" w:lineRule="auto"/>
        <w:rPr>
          <w:rFonts w:ascii="Arial" w:hAnsi="Arial" w:cs="Arial"/>
        </w:rPr>
      </w:pPr>
      <w:r>
        <w:rPr>
          <w:rFonts w:ascii="Arial" w:hAnsi="Arial" w:cs="Arial"/>
        </w:rPr>
        <w:br w:type="page"/>
      </w:r>
    </w:p>
    <w:p w14:paraId="28B8D3A0"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559B76B1"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8254EC6" w14:textId="77777777" w:rsidR="0033689D" w:rsidRPr="00923C59" w:rsidRDefault="0033689D">
      <w:pPr>
        <w:pStyle w:val="Prrafodelista"/>
        <w:numPr>
          <w:ilvl w:val="0"/>
          <w:numId w:val="8"/>
        </w:numPr>
        <w:spacing w:line="276" w:lineRule="auto"/>
        <w:rPr>
          <w:b w:val="0"/>
          <w:bCs w:val="0"/>
          <w:vanish/>
          <w:color w:val="000000"/>
        </w:rPr>
      </w:pPr>
    </w:p>
    <w:p w14:paraId="5A4BE00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2BDEBED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Conjunto de etapas secuenciales e iterativas desde la ideación hasta el retiro de un SBIA, incluyendo evaluación de viabilidad, diseño, desarrollo o adquisición, pruebas, despliegue, operación, monitoreo y desactivación. [ISO/IEC 22989:2022, sección 3.2.1; NTP-ISO/IEC 42001:2025, cláusula 6.1]</w:t>
      </w:r>
    </w:p>
    <w:p w14:paraId="1B4D1F52"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colegiado de apoyo al CGTD encargado de preparar las evaluaciones, informes y propuestas en materia de gobierno de IA, coordinado por un Coordinador designado por el CGTD.</w:t>
      </w:r>
    </w:p>
    <w:p w14:paraId="78B74A01"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Controles de contención (Guardrails):</w:t>
      </w:r>
      <w:r>
        <w:rPr>
          <w:b w:val="0"/>
          <w:bCs w:val="0"/>
          <w:color w:val="000000"/>
        </w:rPr>
        <w:t xml:space="preserve"> Conjunto de controles, reglas y mecanismos técnicos para limitar, filtrar o validar las entradas y salidas de un SBIA, previniendo comportamientos no deseados. [NIST AI 600-1 (2024), sección 2.6; OWASP (2025), Top 10 for LLM Applications]</w:t>
      </w:r>
    </w:p>
    <w:p w14:paraId="2A9EF19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EA5FC0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30C3574A"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Evaluación de Impacto Algorítmico (EIA): </w:t>
      </w:r>
      <w:r>
        <w:rPr>
          <w:b w:val="0"/>
          <w:bCs w:val="0"/>
          <w:color w:val="000000"/>
          <w:highlight w:val="yellow"/>
        </w:rPr>
        <w:t>Proceso sistemático y documentado para identificar, analizar y evaluar los riesgos y efectos potenciales que un SBIA genera sobre los derechos de los administrados, previo a su desarrollo o implementación. [D.S. N.° 115-2025-PCM, Art. 30; NTP-ISO/IEC 42001:2025, cláusula 6.1.2]</w:t>
      </w:r>
    </w:p>
    <w:p w14:paraId="50F8802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685A5DCB"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6DCD22F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Human-in-the-loop:</w:t>
      </w:r>
      <w:r>
        <w:rPr>
          <w:b w:val="0"/>
          <w:bCs w:val="0"/>
          <w:color w:val="000000"/>
        </w:rPr>
        <w:t xml:space="preserve"> Modelo de supervisión donde un ser humano interviene activamente en cada decisión del SBIA antes de su ejecución. [D.S. N.° 115-2025-PCM, Art. 28.11; ISO/IEC 22989:2022, sección 3.4.3]</w:t>
      </w:r>
    </w:p>
    <w:p w14:paraId="71C33EF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Human-on-the-loop:</w:t>
      </w:r>
      <w:r>
        <w:rPr>
          <w:b w:val="0"/>
          <w:bCs w:val="0"/>
          <w:color w:val="000000"/>
        </w:rPr>
        <w:t xml:space="preserve"> Modelo de supervisión donde un ser humano monitorea las operaciones del SBIA y puede intervenir ante anomalías. [D.S. N.° 115-2025-PCM, Art. 28.11; ISO/IEC 22989:2022, sección 3.4.4]</w:t>
      </w:r>
    </w:p>
    <w:p w14:paraId="6A54410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w:t>
      </w:r>
      <w:r>
        <w:rPr>
          <w:b w:val="0"/>
          <w:bCs w:val="0"/>
          <w:color w:val="000000"/>
        </w:rPr>
        <w:lastRenderedPageBreak/>
        <w:t>operativos y desactivarlo. [D.S. N.° 115-2025-PCM, Art. 28.11; Comisión Europea (2019), ALTAI]</w:t>
      </w:r>
    </w:p>
    <w:p w14:paraId="3D50AB80"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5AD0192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7C62BE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MLOps:</w:t>
      </w:r>
      <w:r>
        <w:rPr>
          <w:b w:val="0"/>
          <w:bCs w:val="0"/>
          <w:color w:val="000000"/>
        </w:rPr>
        <w:t xml:space="preserve"> Conjunto de prácticas que combinan Machine Learning, DevOps e ingeniería de datos para estandarizar el ciclo de vida de modelos en producción. [Kreuzberger et al. (2023)]</w:t>
      </w:r>
    </w:p>
    <w:p w14:paraId="733B7DD8" w14:textId="77777777" w:rsidR="00594919" w:rsidRDefault="00000000">
      <w:pPr>
        <w:pStyle w:val="Prrafodelista"/>
        <w:numPr>
          <w:ilvl w:val="1"/>
          <w:numId w:val="8"/>
        </w:numPr>
        <w:spacing w:after="0" w:line="276" w:lineRule="auto"/>
        <w:ind w:left="709" w:hanging="709"/>
        <w:rPr>
          <w:b w:val="0"/>
          <w:bCs w:val="0"/>
          <w:color w:val="000000"/>
        </w:rPr>
      </w:pPr>
      <w:r>
        <w:rPr>
          <w:color w:val="000000"/>
          <w:highlight w:val="cyan"/>
        </w:rPr>
        <w:t xml:space="preserve">Niveles de riesgo de un SBIA: </w:t>
      </w:r>
      <w:r w:rsidRPr="00E87621">
        <w:rPr>
          <w:b w:val="0"/>
          <w:bCs w:val="0"/>
          <w:color w:val="000000"/>
          <w:highlight w:val="cyan"/>
        </w:rPr>
        <w:t>Categorías en que se clasifica un SBIA según el riesgo que genera su uso, conforme al RLIA: uso indebido (prohibido, artículo 23), riesgo alto (sujeto a requisitos reforzados, artículo 24) y riesgo aceptable (artículo 22.2), subdividido internamente en aceptable-limitado y aceptable-mínimo para fines de supervisión. [D.S. N.° 115-2025-PCM, artículos 22 a 24]</w:t>
      </w:r>
    </w:p>
    <w:p w14:paraId="4C57C1FA" w14:textId="1EE06D1E" w:rsidR="0033689D" w:rsidRPr="00BA798A" w:rsidRDefault="0033689D">
      <w:pPr>
        <w:pStyle w:val="Prrafodelista"/>
        <w:numPr>
          <w:ilvl w:val="1"/>
          <w:numId w:val="8"/>
        </w:numPr>
        <w:spacing w:after="0" w:line="276" w:lineRule="auto"/>
        <w:ind w:left="709" w:hanging="709"/>
        <w:rPr>
          <w:b w:val="0"/>
          <w:bCs w:val="0"/>
          <w:color w:val="000000"/>
          <w:highlight w:val="lightGray"/>
        </w:rPr>
      </w:pPr>
      <w:r w:rsidRPr="00BA798A">
        <w:rPr>
          <w:color w:val="000000"/>
          <w:highlight w:val="lightGray"/>
        </w:rPr>
        <w:t>Propietario de</w:t>
      </w:r>
      <w:r w:rsidR="00BA798A">
        <w:rPr>
          <w:color w:val="000000"/>
          <w:highlight w:val="lightGray"/>
        </w:rPr>
        <w:t>l</w:t>
      </w:r>
      <w:r w:rsidRPr="00BA798A">
        <w:rPr>
          <w:color w:val="000000"/>
          <w:highlight w:val="lightGray"/>
        </w:rPr>
        <w:t xml:space="preserve"> caso de uso: </w:t>
      </w:r>
      <w:r w:rsidR="00BA798A" w:rsidRPr="00BA798A">
        <w:rPr>
          <w:b w:val="0"/>
          <w:bCs w:val="0"/>
          <w:color w:val="000000"/>
          <w:highlight w:val="lightGray"/>
        </w:rPr>
        <w:t>Unidad de organización que, de acuerdo con sus competencias y funciones en el ROF, es el dueño del proceso en el que se identifica la necesidad a atender mediante un SBIA y que asume la responsabilidad funcional sobre sus resultados durante todo su ciclo de vida. Se distingue del custodio técnico, a cargo de la arquitectura y la operación del SBIA. [METGEP, numeral 4.9; METDONI, numeral 4.6; NTP-ISO/IEC 42001:2025, cláusula 5.3]</w:t>
      </w:r>
    </w:p>
    <w:p w14:paraId="5DB96D0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Red Teaming:</w:t>
      </w:r>
      <w:r>
        <w:rPr>
          <w:b w:val="0"/>
          <w:bCs w:val="0"/>
          <w:color w:val="000000"/>
        </w:rPr>
        <w:t xml:space="preserve"> Práctica de seguridad ofensiva que simula ataques adversarios contra un SBIA para identificar vulnerabilidades previo a su despliegue. [NIST AI 600-1 (2024), sección 2.7; OWASP (2025)]</w:t>
      </w:r>
    </w:p>
    <w:p w14:paraId="2D99BF1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Reserva tributaria:</w:t>
      </w:r>
      <w:r>
        <w:rPr>
          <w:b w:val="0"/>
          <w:bCs w:val="0"/>
          <w:color w:val="000000"/>
        </w:rPr>
        <w:t xml:space="preserve"> Carácter reservado de la información vinculada a los contribuyentes, conforme al artículo 85 del TUO del Código Tributario. [D.S. N.° 133-2013-EF, Art. 85]</w:t>
      </w:r>
    </w:p>
    <w:p w14:paraId="7E451C7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Riesgo de IA:</w:t>
      </w:r>
      <w:r>
        <w:rPr>
          <w:b w:val="0"/>
          <w:bCs w:val="0"/>
          <w:color w:val="000000"/>
        </w:rPr>
        <w:t xml:space="preserve"> Combinación de la probabilidad de ocurrencia de daños derivados del uso de un SBIA y la severidad de esos daños. [ISO/IEC 23894:2023, sección 3.1]</w:t>
      </w:r>
    </w:p>
    <w:p w14:paraId="3C60E648"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[Ley N.° 31814, Art. 2; D.S. N.° 115-2025-PCM, Art. 6(j)]</w:t>
      </w:r>
    </w:p>
    <w:p w14:paraId="6C6F19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en los resultados de un SBIA que produce resultados injustos o discriminatorios hacia determinados grupos de personas. [ISO/IEC 22989:2022, sección 3.1.5; NIST SP 1270 (2022)]</w:t>
      </w:r>
    </w:p>
    <w:p w14:paraId="7D3A7F35"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214340BB" w14:textId="77777777" w:rsidR="00E87621" w:rsidRPr="00E87621" w:rsidRDefault="00E87621" w:rsidP="00E87621">
      <w:pPr>
        <w:spacing w:after="0" w:line="276" w:lineRule="auto"/>
        <w:rPr>
          <w:color w:val="000000"/>
        </w:rPr>
      </w:pPr>
    </w:p>
    <w:p w14:paraId="482F0CAA"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lastRenderedPageBreak/>
        <w:t>DISPOSICIONES GENERALES</w:t>
      </w:r>
      <w:bookmarkEnd w:id="5"/>
    </w:p>
    <w:p w14:paraId="5005ABB3" w14:textId="77777777" w:rsidR="00A46D47" w:rsidRPr="00923C59" w:rsidRDefault="00A46D47" w:rsidP="00A46D47">
      <w:pPr>
        <w:pStyle w:val="SubtituloDONI"/>
        <w:spacing w:line="276" w:lineRule="auto"/>
        <w:ind w:left="851"/>
      </w:pPr>
      <w:r>
        <w:t>5.1</w:t>
      </w:r>
      <w:r>
        <w:tab/>
        <w:t>De los principios para el Gobierno de IA</w:t>
      </w:r>
    </w:p>
    <w:p w14:paraId="0498D8FC" w14:textId="7777777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t>5.1.1</w:t>
      </w:r>
      <w:r>
        <w:rPr>
          <w:rFonts w:ascii="Arial" w:eastAsia="Arial" w:hAnsi="Arial" w:cs="Arial"/>
          <w:color w:val="000000"/>
        </w:rPr>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de la </w:t>
      </w:r>
      <w:r>
        <w:rPr>
          <w:rFonts w:ascii="Arial" w:hAnsi="Arial" w:cs="Arial"/>
          <w:highlight w:val="yellow"/>
        </w:rPr>
        <w:t>Política de Uso Seguro, Responsable y Ético de los SBIA</w:t>
      </w:r>
      <w:r>
        <w:rPr>
          <w:rFonts w:ascii="Arial" w:eastAsia="Arial" w:hAnsi="Arial" w:cs="Arial"/>
          <w:color w:val="000000"/>
        </w:rPr>
        <w:t>, concordantes con el artículo 7 del RLIA y la ENIA.</w:t>
      </w:r>
    </w:p>
    <w:p w14:paraId="4380E229" w14:textId="77777777" w:rsidR="00025734" w:rsidRPr="00025734" w:rsidRDefault="00A46D47" w:rsidP="00A46D47">
      <w:pPr>
        <w:spacing w:after="60" w:line="276" w:lineRule="auto"/>
        <w:ind w:left="1276" w:hanging="720"/>
        <w:jc w:val="both"/>
        <w:rPr>
          <w:rFonts w:ascii="Arial" w:hAnsi="Arial" w:cs="Arial"/>
          <w:color w:val="000000"/>
          <w:highlight w:val="lightGray"/>
        </w:rPr>
      </w:pPr>
      <w:r w:rsidRPr="00025734">
        <w:rPr>
          <w:rFonts w:ascii="Arial" w:hAnsi="Arial" w:cs="Arial"/>
          <w:color w:val="000000"/>
          <w:highlight w:val="lightGray"/>
        </w:rPr>
        <w:t>5.1.2</w:t>
      </w:r>
      <w:r w:rsidRPr="00025734">
        <w:rPr>
          <w:rFonts w:ascii="Arial" w:hAnsi="Arial" w:cs="Arial"/>
          <w:color w:val="000000"/>
          <w:highlight w:val="lightGray"/>
        </w:rPr>
        <w:tab/>
      </w:r>
      <w:r w:rsidR="00025734" w:rsidRPr="00025734">
        <w:rPr>
          <w:rFonts w:ascii="Arial" w:hAnsi="Arial" w:cs="Arial"/>
          <w:color w:val="000000"/>
          <w:highlight w:val="lightGray"/>
        </w:rPr>
        <w:t xml:space="preserve">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 </w:t>
      </w:r>
    </w:p>
    <w:p w14:paraId="1313E70C" w14:textId="38C0476D"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r>
      <w:r>
        <w:rPr>
          <w:rFonts w:ascii="Arial" w:eastAsia="Arial" w:hAnsi="Arial" w:cs="Arial"/>
          <w:color w:val="000000"/>
          <w:highlight w:val="yellow"/>
        </w:rPr>
        <w:tab/>
        <w:t>La reserva tributaria constituye criterio determinante en la evaluación de riesgo de todo SBIA que procese información de contribuyentes.</w:t>
      </w:r>
    </w:p>
    <w:p w14:paraId="7D937A6B" w14:textId="77777777" w:rsidR="00A46D47" w:rsidRPr="00A46D47" w:rsidRDefault="00A46D47" w:rsidP="00A46D47">
      <w:pPr>
        <w:pStyle w:val="Prrafodelista"/>
        <w:spacing w:before="0" w:after="60" w:line="276" w:lineRule="auto"/>
        <w:ind w:left="1276"/>
        <w:rPr>
          <w:b w:val="0"/>
          <w:bCs w:val="0"/>
        </w:rPr>
      </w:pPr>
      <w:r>
        <w:rPr>
          <w:b w:val="0"/>
          <w:bCs w:val="0"/>
          <w:color w:val="000000"/>
          <w:highlight w:val="cyan"/>
        </w:rPr>
        <w:t>5.1.4</w:t>
      </w:r>
      <w:r>
        <w:rPr>
          <w:b w:val="0"/>
          <w:bCs w:val="0"/>
          <w:color w:val="000000"/>
          <w:highlight w:val="cyan"/>
        </w:rPr>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1DCC4A84"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r>
      <w:r>
        <w:rPr>
          <w:rFonts w:ascii="Arial" w:eastAsia="Arial" w:hAnsi="Arial" w:cs="Arial"/>
          <w:color w:val="000000"/>
          <w:highlight w:val="yellow"/>
        </w:rPr>
        <w:tab/>
        <w:t>El Gobierno de IA aplica el principio de proporcionalidad: las exigencias de evaluación, supervisión y control se gradúan según el nivel de riesgo del SBIA. La proporcionalidad no exime del cumplimiento de los controles y obligaciones que el Reglamento y la presente directiva establecen con carácter obligatorio para cada categoría de riesgo.</w:t>
      </w:r>
    </w:p>
    <w:p w14:paraId="4153764E" w14:textId="77777777" w:rsidR="00863A18" w:rsidRPr="00923C59" w:rsidRDefault="00863A18" w:rsidP="00B23382">
      <w:pPr>
        <w:pStyle w:val="SubtituloDONI"/>
        <w:spacing w:line="276" w:lineRule="auto"/>
        <w:ind w:left="851"/>
      </w:pPr>
      <w:r>
        <w:t>5.2</w:t>
      </w:r>
      <w:r>
        <w:tab/>
        <w:t>De la función de Gobierno de Inteligencia Artificial</w:t>
      </w:r>
    </w:p>
    <w:p w14:paraId="39EE6BB3" w14:textId="777777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r>
      <w:r>
        <w:rPr>
          <w:rFonts w:ascii="Arial" w:eastAsia="Arial" w:hAnsi="Arial" w:cs="Arial"/>
          <w:color w:val="000000"/>
        </w:rPr>
        <w:tab/>
        <w:t>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sistemas basados en IA estratégicos para la entidad.</w:t>
      </w:r>
    </w:p>
    <w:p w14:paraId="0AA671F2" w14:textId="77777777" w:rsidR="00E34945" w:rsidRDefault="00E34945" w:rsidP="00E34945">
      <w:pPr>
        <w:pStyle w:val="SubtituloDONI"/>
        <w:spacing w:line="276" w:lineRule="auto"/>
        <w:ind w:left="851"/>
      </w:pPr>
      <w:r>
        <w:t>5.3</w:t>
      </w:r>
      <w:r>
        <w:tab/>
        <w:t>De la Comisión de Gobierno de IA</w:t>
      </w:r>
    </w:p>
    <w:p w14:paraId="2E6E0212"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5.3.1</w:t>
      </w:r>
      <w:r>
        <w:rPr>
          <w:rFonts w:ascii="Arial" w:eastAsia="Arial" w:hAnsi="Arial" w:cs="Arial"/>
          <w:color w:val="000000"/>
        </w:rPr>
        <w:tab/>
        <w:t>Para el ejercicio efectivo de la función de gobierno de IA, el CGTD cuenta con la Comisión de Gobierno de IA, instancia de apoyo encargada de preparar las evaluaciones, los informes y las propuestas que el CGTD requiera para la toma de decisiones en materia de IA. La Comisión de Gobierno de IA es coordinada por un Coordinador designado por el CGTD.</w:t>
      </w:r>
    </w:p>
    <w:p w14:paraId="4D522602"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5.3.2</w:t>
      </w:r>
      <w:r>
        <w:rPr>
          <w:rFonts w:ascii="Arial" w:eastAsia="Arial" w:hAnsi="Arial" w:cs="Arial"/>
          <w:color w:val="000000"/>
        </w:rPr>
        <w:tab/>
        <w:t>Son funciones de la Comisión de Gobierno de IA, en apoyo al CGTD:</w:t>
      </w:r>
    </w:p>
    <w:p w14:paraId="638900C7"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Preparar la propuesta de estrategia institucional de IA y sus actualizaciones, para aprobación del CGTD.</w:t>
      </w:r>
    </w:p>
    <w:p w14:paraId="19EFBB45"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 xml:space="preserve">Evaluar los casos de uso de SBIA propuestos por los órganos de línea (generación de valor, viabilidad técnica, legal, ética y operativa, y </w:t>
      </w:r>
      <w:r>
        <w:rPr>
          <w:b w:val="0"/>
          <w:bCs w:val="0"/>
          <w:color w:val="000000"/>
        </w:rPr>
        <w:lastRenderedPageBreak/>
        <w:t>estimación de inversión y costos recurrentes) y elevar al CGTD la recomendación fundamentada de aprobación o no procedencia.</w:t>
      </w:r>
    </w:p>
    <w:p w14:paraId="1CF00BE7" w14:textId="77777777" w:rsidR="0018222F" w:rsidRPr="009E7E49" w:rsidRDefault="002102ED" w:rsidP="003204D8">
      <w:pPr>
        <w:pStyle w:val="Prrafodelista"/>
        <w:numPr>
          <w:ilvl w:val="0"/>
          <w:numId w:val="9"/>
        </w:numPr>
        <w:spacing w:before="0" w:after="60" w:line="276" w:lineRule="auto"/>
        <w:ind w:left="1701" w:hanging="425"/>
        <w:rPr>
          <w:b w:val="0"/>
          <w:bCs w:val="0"/>
          <w:color w:val="EE0000"/>
        </w:rPr>
      </w:pPr>
      <w:r>
        <w:rPr>
          <w:b w:val="0"/>
          <w:bCs w:val="0"/>
          <w:highlight w:val="cyan"/>
        </w:rPr>
        <w:t>Proponer al CGTD la clasificación de riesgo de cada SBIA, previo al inicio del desarrollo o adquisición.</w:t>
      </w:r>
    </w:p>
    <w:p w14:paraId="40055B7C" w14:textId="77777777" w:rsidR="0018222F" w:rsidRPr="00E34945" w:rsidRDefault="002102ED" w:rsidP="003204D8">
      <w:pPr>
        <w:pStyle w:val="Prrafodelista"/>
        <w:numPr>
          <w:ilvl w:val="0"/>
          <w:numId w:val="9"/>
        </w:numPr>
        <w:spacing w:before="0" w:after="60" w:line="276" w:lineRule="auto"/>
        <w:ind w:left="1701" w:hanging="425"/>
        <w:rPr>
          <w:b w:val="0"/>
          <w:bCs w:val="0"/>
          <w:color w:val="EE0000"/>
        </w:rPr>
      </w:pPr>
      <w:r>
        <w:rPr>
          <w:b w:val="0"/>
          <w:bCs w:val="0"/>
          <w:color w:val="000000"/>
          <w:highlight w:val="cyan"/>
        </w:rPr>
        <w:t>Asegurar el cumplimiento del Gobierno de IA en la SUNAT.</w:t>
      </w:r>
    </w:p>
    <w:p w14:paraId="2893713A" w14:textId="77777777" w:rsidR="0018222F" w:rsidRPr="009E7E49" w:rsidRDefault="002102ED" w:rsidP="003204D8">
      <w:pPr>
        <w:pStyle w:val="Prrafodelista"/>
        <w:numPr>
          <w:ilvl w:val="0"/>
          <w:numId w:val="9"/>
        </w:numPr>
        <w:spacing w:before="0" w:after="60" w:line="276" w:lineRule="auto"/>
        <w:ind w:left="1701" w:hanging="425"/>
        <w:rPr>
          <w:b w:val="0"/>
          <w:bCs w:val="0"/>
          <w:color w:val="EE0000"/>
        </w:rPr>
      </w:pPr>
      <w:r>
        <w:rPr>
          <w:b w:val="0"/>
          <w:bCs w:val="0"/>
          <w:highlight w:val="cyan"/>
        </w:rPr>
        <w:t>Coordinar la elaboración de las evaluaciones de impacto algorítmico y elevar sus conclusiones al CGTD.</w:t>
      </w:r>
    </w:p>
    <w:p w14:paraId="3B6B74FE"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Administrar el Inventario Institucional de SBIA.</w:t>
      </w:r>
    </w:p>
    <w:p w14:paraId="24741396"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Supervisar el cumplimiento de los hitos de aprobación del ciclo de vida de los SBIA y consolidar los informes de monitoreo, auditoría e incidentes para conocimiento del CGTD.</w:t>
      </w:r>
    </w:p>
    <w:p w14:paraId="142016C5"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Proponer lineamientos técnicos complementarios en materia de gobierno de IA y coordinar la articulación con la SGTD-PCM.</w:t>
      </w:r>
    </w:p>
    <w:p w14:paraId="2E163CAA" w14:textId="77777777" w:rsidR="0018147B" w:rsidRDefault="00000000" w:rsidP="003204D8">
      <w:pPr>
        <w:pStyle w:val="Prrafodelista"/>
        <w:numPr>
          <w:ilvl w:val="0"/>
          <w:numId w:val="9"/>
        </w:numPr>
        <w:spacing w:before="0" w:after="60" w:line="276" w:lineRule="auto"/>
        <w:ind w:left="1701" w:hanging="425"/>
        <w:rPr>
          <w:b w:val="0"/>
          <w:bCs w:val="0"/>
          <w:color w:val="000000"/>
        </w:rPr>
      </w:pPr>
      <w:r>
        <w:rPr>
          <w:b w:val="0"/>
          <w:bCs w:val="0"/>
          <w:color w:val="000000"/>
          <w:highlight w:val="yellow"/>
        </w:rPr>
        <w:t>Administrar y centralizar la evaluación de los riesgos de los SBIA.</w:t>
      </w:r>
    </w:p>
    <w:p w14:paraId="262208F8" w14:textId="77777777" w:rsidR="00836DA1" w:rsidRDefault="00000000" w:rsidP="00E34945">
      <w:pPr>
        <w:pStyle w:val="Prrafodelista"/>
        <w:numPr>
          <w:ilvl w:val="0"/>
          <w:numId w:val="9"/>
        </w:numPr>
        <w:spacing w:before="0" w:after="60" w:line="276" w:lineRule="auto"/>
        <w:ind w:left="1701" w:hanging="425"/>
        <w:rPr>
          <w:b w:val="0"/>
          <w:bCs w:val="0"/>
          <w:highlight w:val="cyan"/>
        </w:rPr>
      </w:pPr>
      <w:r>
        <w:rPr>
          <w:b w:val="0"/>
          <w:bCs w:val="0"/>
          <w:highlight w:val="cyan"/>
        </w:rPr>
        <w:t>Convocar a otras unidades de organización y a especialistas adicionales según la materia y la complejidad del caso de uso.</w:t>
      </w:r>
    </w:p>
    <w:p w14:paraId="6F4FB7E8" w14:textId="77777777" w:rsidR="00863A18" w:rsidRPr="00923C59" w:rsidRDefault="00863A18" w:rsidP="00B23382">
      <w:pPr>
        <w:pStyle w:val="SubtituloDONI"/>
        <w:spacing w:line="276" w:lineRule="auto"/>
        <w:ind w:left="851"/>
      </w:pPr>
      <w:r>
        <w:t>5.4</w:t>
      </w:r>
      <w:r>
        <w:tab/>
        <w:t>De los roles y responsabilidades</w:t>
      </w:r>
    </w:p>
    <w:p w14:paraId="604F42A1"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57003083"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BBC045C"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3C5EC4C0"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51EB6E"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AC1ACA3"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3089C3E"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46D68E4A"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EC581"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DBB1D7"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4265FD"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7E4F6F6D"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4872A49B"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71219976"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el informe anual de IA para la SGTD.</w:t>
            </w:r>
          </w:p>
          <w:p w14:paraId="310924D3"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 y aprueba las inversiones asociadas.</w:t>
            </w:r>
          </w:p>
        </w:tc>
      </w:tr>
      <w:tr w:rsidR="0081311B" w:rsidRPr="00923C59" w14:paraId="6406FAD0"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1D8C58" w14:textId="77777777" w:rsidR="0081311B" w:rsidRPr="00923C59" w:rsidRDefault="0081311B" w:rsidP="00B23382">
            <w:pPr>
              <w:spacing w:before="20" w:after="20" w:line="276" w:lineRule="auto"/>
              <w:rPr>
                <w:rFonts w:ascii="Arial" w:hAnsi="Arial" w:cs="Arial"/>
              </w:rPr>
            </w:pPr>
            <w:r>
              <w:rPr>
                <w:rFonts w:ascii="Arial" w:eastAsia="Arial" w:hAnsi="Arial" w:cs="Arial"/>
                <w:b/>
                <w:bCs/>
              </w:rPr>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9DCF2D"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21EEED"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 xml:space="preserve">Lidera, dirige, evalúa y supervisa los proyectos de SBIA estratégicos. </w:t>
            </w:r>
          </w:p>
          <w:p w14:paraId="05D7E46D" w14:textId="77777777" w:rsidR="00E67A73" w:rsidRDefault="00000000" w:rsidP="0047575A">
            <w:pPr>
              <w:pStyle w:val="Prrafodelista"/>
              <w:numPr>
                <w:ilvl w:val="0"/>
                <w:numId w:val="13"/>
              </w:numPr>
              <w:spacing w:before="20" w:after="20" w:line="276" w:lineRule="auto"/>
              <w:ind w:left="299" w:hanging="283"/>
              <w:jc w:val="left"/>
              <w:rPr>
                <w:b w:val="0"/>
                <w:bCs w:val="0"/>
              </w:rPr>
            </w:pPr>
            <w:r>
              <w:rPr>
                <w:b w:val="0"/>
                <w:bCs w:val="0"/>
                <w:highlight w:val="yellow"/>
              </w:rPr>
              <w:lastRenderedPageBreak/>
              <w:t xml:space="preserve">Aprueba la clasificación de riesgo de los SBIA de riesgo alto y de los estratégicos para la entidad, así como los casos de uso y la estrategia de IA. La clasificación de los SBIA de riesgo aceptable la aprueba la Comisión de Gobierno de IA, conforme al numeral 6.2.2. </w:t>
            </w:r>
          </w:p>
          <w:p w14:paraId="4662D368"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Aprueba la EIA de SBIA de riesgo alto.</w:t>
            </w:r>
          </w:p>
          <w:p w14:paraId="58552442"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 xml:space="preserve">Decide sobre la no procedencia de casos de uso. </w:t>
            </w:r>
          </w:p>
          <w:p w14:paraId="555CCBE5" w14:textId="77777777" w:rsidR="0081311B" w:rsidRPr="00923C59" w:rsidRDefault="0081311B" w:rsidP="0047575A">
            <w:pPr>
              <w:pStyle w:val="Prrafodelista"/>
              <w:numPr>
                <w:ilvl w:val="0"/>
                <w:numId w:val="13"/>
              </w:numPr>
              <w:spacing w:before="20" w:after="20" w:line="276" w:lineRule="auto"/>
              <w:ind w:left="299" w:hanging="283"/>
              <w:jc w:val="left"/>
            </w:pPr>
            <w:r>
              <w:rPr>
                <w:b w:val="0"/>
                <w:bCs w:val="0"/>
              </w:rPr>
              <w:t>Revisa los informes trimestrales de la Comisión de Gobierno de IA.</w:t>
            </w:r>
          </w:p>
        </w:tc>
      </w:tr>
    </w:tbl>
    <w:p w14:paraId="7AD0E99B" w14:textId="77777777" w:rsidR="00B34A74" w:rsidRDefault="00B34A74" w:rsidP="00A46D47">
      <w:pPr>
        <w:pStyle w:val="SubtituloDONI"/>
        <w:spacing w:line="276" w:lineRule="auto"/>
        <w:ind w:left="851"/>
      </w:pP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58843B40" w14:textId="77777777" w:rsidTr="00904C72">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B9EDCAA" w14:textId="77777777" w:rsidR="00B34A74" w:rsidRDefault="00B34A74" w:rsidP="00904C72">
            <w:pPr>
              <w:spacing w:before="20" w:after="20" w:line="276" w:lineRule="auto"/>
              <w:rPr>
                <w:rFonts w:ascii="Arial" w:eastAsia="Arial" w:hAnsi="Arial" w:cs="Arial"/>
                <w:b/>
                <w:bCs/>
              </w:rPr>
            </w:pPr>
            <w:r>
              <w:rPr>
                <w:rFonts w:ascii="Arial" w:eastAsia="Arial" w:hAnsi="Arial" w:cs="Arial"/>
                <w:b/>
                <w:bCs/>
              </w:rPr>
              <w:t>Integrantes de la Comisión de Gobierno de IA</w:t>
            </w:r>
          </w:p>
        </w:tc>
      </w:tr>
      <w:tr w:rsidR="00B34A74" w:rsidRPr="00923C59" w14:paraId="3111FE5B" w14:textId="77777777" w:rsidTr="00904C72">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1E9C1"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CD1735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A42D5D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Responsabilidades</w:t>
            </w:r>
          </w:p>
        </w:tc>
      </w:tr>
      <w:tr w:rsidR="00B34A74" w14:paraId="5A467A1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57C8D2"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BFD903" w14:textId="77777777" w:rsidR="00B34A74" w:rsidRDefault="00B34A74" w:rsidP="00904C72">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F50ED3"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tc>
      </w:tr>
      <w:tr w:rsidR="00B34A74" w14:paraId="79E72889"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C76C9F" w14:textId="77777777" w:rsidR="00B34A74" w:rsidRDefault="00B34A74" w:rsidP="00904C72">
            <w:pPr>
              <w:spacing w:after="0" w:line="276" w:lineRule="auto"/>
            </w:pPr>
            <w:r>
              <w:rPr>
                <w:rFonts w:ascii="Arial" w:eastAsia="Arial" w:hAnsi="Arial" w:cs="Arial"/>
                <w:b/>
                <w:bCs/>
                <w:color w:val="000000"/>
              </w:rPr>
              <w:t>Oficial de</w:t>
            </w:r>
          </w:p>
          <w:p w14:paraId="699EF18A" w14:textId="77777777" w:rsidR="00B34A74" w:rsidRPr="00923C59" w:rsidRDefault="00B34A74" w:rsidP="00904C72">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A53CE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E8134"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C4F511A"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7B8A7F4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0B04A9" w14:textId="77777777" w:rsidR="00B34A74" w:rsidRDefault="00B34A74" w:rsidP="00904C72">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BE88A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8D76E4"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tratamiento de datos personales: asegura el tratamiento adecuado de los datos personales en el desarrollo, implementación y </w:t>
            </w:r>
            <w:r>
              <w:rPr>
                <w:b w:val="0"/>
                <w:bCs w:val="0"/>
                <w:color w:val="000000"/>
                <w:highlight w:val="yellow"/>
              </w:rPr>
              <w:lastRenderedPageBreak/>
              <w:t>uso de los SBIA conforme al numeral 6.7.6.</w:t>
            </w:r>
          </w:p>
          <w:p w14:paraId="6316C4D8"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4285C671"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4123A8" w14:textId="77777777" w:rsidR="00B34A74" w:rsidRDefault="00B34A74" w:rsidP="00904C72">
            <w:pPr>
              <w:spacing w:after="0" w:line="276" w:lineRule="auto"/>
            </w:pPr>
            <w:r>
              <w:rPr>
                <w:rFonts w:ascii="Arial" w:eastAsia="Arial" w:hAnsi="Arial" w:cs="Arial"/>
                <w:b/>
                <w:bCs/>
                <w:color w:val="000000"/>
                <w:highlight w:val="yellow"/>
              </w:rPr>
              <w:lastRenderedPageBreak/>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019050"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0A3451"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seguridad digital: promueve la seguridad y confiabilidad de los SBIA y brinda soporte en la gestión de riesgos en su desarrollo, implementación y uso, conforme al numeral 6.7.1.</w:t>
            </w:r>
          </w:p>
        </w:tc>
      </w:tr>
      <w:tr w:rsidR="00B34A74" w14:paraId="0B3F707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1AADAD" w14:textId="77777777" w:rsidR="00B34A74" w:rsidRPr="00923C59" w:rsidRDefault="00B34A74" w:rsidP="00904C72">
            <w:pPr>
              <w:spacing w:before="20" w:after="20" w:line="276" w:lineRule="auto"/>
              <w:rPr>
                <w:rFonts w:ascii="Arial" w:hAnsi="Arial" w:cs="Arial"/>
              </w:rPr>
            </w:pPr>
            <w:r>
              <w:rPr>
                <w:rFonts w:ascii="Arial" w:eastAsia="Arial" w:hAnsi="Arial" w:cs="Arial"/>
                <w:b/>
                <w:bCs/>
              </w:rPr>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858A69" w14:textId="77777777" w:rsidR="00B34A74" w:rsidRPr="00923C59" w:rsidRDefault="00B34A74" w:rsidP="00904C72">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1B9956"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32D6651D"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5F1E086"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3199A77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CA3B6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55C4C5" w14:textId="77777777" w:rsidR="00B34A74" w:rsidRPr="00923C59" w:rsidRDefault="00B34A74" w:rsidP="00904C72">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A980D"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0D580670"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Asesora sobre el cumplimiento normativo de los SBIA. Revisa la EIA en materia de protección de datos y reserva tributaria. </w:t>
            </w:r>
          </w:p>
          <w:p w14:paraId="04FBB6C1"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lastRenderedPageBreak/>
              <w:t xml:space="preserve">Emite opinión previa sobre contratos con proveedores internacionales de IA. </w:t>
            </w:r>
          </w:p>
          <w:p w14:paraId="479EC934" w14:textId="77777777" w:rsidR="00B34A74"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Absuelve consultas legales sobre IA.</w:t>
            </w:r>
          </w:p>
        </w:tc>
      </w:tr>
      <w:tr w:rsidR="00B34A74" w14:paraId="6BA7FDD2"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BB007C" w14:textId="77777777" w:rsidR="00B34A74" w:rsidRPr="00923C59" w:rsidRDefault="00B34A74" w:rsidP="00904C72">
            <w:pPr>
              <w:spacing w:before="20" w:after="20" w:line="276" w:lineRule="auto"/>
              <w:rPr>
                <w:rFonts w:ascii="Arial" w:hAnsi="Arial" w:cs="Arial"/>
              </w:rPr>
            </w:pPr>
            <w:r>
              <w:rPr>
                <w:rFonts w:ascii="Arial" w:eastAsia="Arial" w:hAnsi="Arial" w:cs="Arial"/>
                <w:b/>
                <w:bCs/>
              </w:rPr>
              <w:lastRenderedPageBreak/>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E76FB" w14:textId="77777777" w:rsidR="00B34A74" w:rsidRPr="00923C59" w:rsidRDefault="00B34A74" w:rsidP="00904C72">
            <w:pPr>
              <w:spacing w:before="20" w:after="20" w:line="276" w:lineRule="auto"/>
              <w:rPr>
                <w:rFonts w:ascii="Arial" w:hAnsi="Arial" w:cs="Arial"/>
              </w:rPr>
            </w:pPr>
            <w:r>
              <w:rPr>
                <w:rFonts w:ascii="Arial" w:eastAsia="Arial" w:hAnsi="Arial" w:cs="Arial"/>
              </w:rPr>
              <w:t>Ger. Seg. Información / Of. 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F73E3F" w14:textId="77777777" w:rsidR="00B34A74" w:rsidRDefault="00B34A74" w:rsidP="00904C72">
            <w:pPr>
              <w:pStyle w:val="Prrafodelista"/>
              <w:numPr>
                <w:ilvl w:val="0"/>
                <w:numId w:val="16"/>
              </w:numPr>
              <w:spacing w:before="20" w:after="20" w:line="276" w:lineRule="auto"/>
              <w:ind w:left="299" w:hanging="283"/>
              <w:jc w:val="left"/>
              <w:rPr>
                <w:b w:val="0"/>
                <w:bCs w:val="0"/>
              </w:rPr>
            </w:pPr>
            <w:commentRangeStart w:id="6"/>
            <w:r>
              <w:rPr>
                <w:b w:val="0"/>
                <w:bCs w:val="0"/>
                <w:highlight w:val="yellow"/>
              </w:rPr>
              <w:t>Audita los procesos del Sistema de Gestión de Seguridad de la Información que soportan a los SBIA (GSI).</w:t>
            </w:r>
            <w:commentRangeEnd w:id="6"/>
            <w:r w:rsidR="00DE41F6">
              <w:rPr>
                <w:rStyle w:val="Refdecomentario"/>
                <w:b w:val="0"/>
                <w:bCs w:val="0"/>
                <w:sz w:val="22"/>
                <w:szCs w:val="22"/>
              </w:rPr>
              <w:commentReference w:id="6"/>
            </w:r>
          </w:p>
          <w:p w14:paraId="481BC02B"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Efectúa el análisis de riesgo y las pruebas de vulnerabilidad de los SBIA (OSI).</w:t>
            </w:r>
          </w:p>
        </w:tc>
      </w:tr>
      <w:tr w:rsidR="00B34A74" w14:paraId="37D9A84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C1571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6626B" w14:textId="77777777" w:rsidR="00B34A74" w:rsidRPr="00923C59" w:rsidRDefault="00B34A74" w:rsidP="00904C72">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6AA00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248906E1"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50FFB91E"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196AA9" w14:textId="77777777" w:rsidR="00B34A74" w:rsidRPr="00923C59" w:rsidRDefault="00B34A74" w:rsidP="00904C72">
            <w:pPr>
              <w:spacing w:before="20" w:after="20" w:line="276" w:lineRule="auto"/>
              <w:rPr>
                <w:rFonts w:ascii="Arial" w:hAnsi="Arial" w:cs="Arial"/>
              </w:rPr>
            </w:pPr>
            <w:r>
              <w:rPr>
                <w:rFonts w:ascii="Arial" w:eastAsia="Arial" w:hAnsi="Arial" w:cs="Arial"/>
                <w:b/>
                <w:bCs/>
              </w:rPr>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1D9815" w14:textId="77777777" w:rsidR="00B34A74" w:rsidRPr="00923C59" w:rsidRDefault="00B34A74" w:rsidP="00904C72">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02A6E" w14:textId="77777777" w:rsidR="00B34A74" w:rsidRPr="00B34A74" w:rsidRDefault="00B34A74" w:rsidP="00B34A74">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64489EC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Integra los SBIA al Plan de Sistemas de la INSI.</w:t>
            </w:r>
          </w:p>
        </w:tc>
      </w:tr>
      <w:tr w:rsidR="00B34A74" w14:paraId="50948364"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6D8DA9" w14:textId="4645AE22" w:rsidR="00B34A74" w:rsidRDefault="00B34A74" w:rsidP="00904C72">
            <w:pPr>
              <w:spacing w:before="20" w:after="20" w:line="276" w:lineRule="auto"/>
              <w:rPr>
                <w:rFonts w:ascii="Arial" w:hAnsi="Arial" w:cs="Arial"/>
              </w:rPr>
            </w:pPr>
            <w:r>
              <w:rPr>
                <w:rFonts w:ascii="Arial" w:eastAsia="Arial" w:hAnsi="Arial" w:cs="Arial"/>
                <w:b/>
                <w:bCs/>
                <w:highlight w:val="yellow"/>
              </w:rPr>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07D75" w14:textId="77777777" w:rsidR="00B34A74" w:rsidRDefault="00B34A74" w:rsidP="00904C72">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39F57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un enfoque holístico, sistémico y con sinergia en el desarrollo del caso de negocio de las iniciativas de SBIA.</w:t>
            </w:r>
          </w:p>
          <w:p w14:paraId="0B8A380A"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la reusabilidad de las soluciones tecnológicas en el desarrollo del caso de negocio de los SBIA.</w:t>
            </w:r>
          </w:p>
        </w:tc>
      </w:tr>
      <w:tr w:rsidR="00B34A74" w14:paraId="5226AE7A"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817029" w14:textId="5C271067" w:rsidR="00B34A74" w:rsidRPr="005B30EE" w:rsidRDefault="005B30EE" w:rsidP="00904C72">
            <w:pPr>
              <w:spacing w:before="20" w:after="20" w:line="276" w:lineRule="auto"/>
              <w:rPr>
                <w:rFonts w:ascii="Arial" w:hAnsi="Arial" w:cs="Arial"/>
                <w:highlight w:val="lightGray"/>
              </w:rPr>
            </w:pPr>
            <w:r w:rsidRPr="005B30EE">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B8D71F" w14:textId="6834B957" w:rsidR="00B34A74" w:rsidRPr="005B30EE" w:rsidRDefault="005B30EE" w:rsidP="00904C72">
            <w:pPr>
              <w:spacing w:before="20" w:after="20" w:line="276" w:lineRule="auto"/>
              <w:rPr>
                <w:rFonts w:ascii="Arial" w:hAnsi="Arial" w:cs="Arial"/>
                <w:highlight w:val="lightGray"/>
              </w:rPr>
            </w:pPr>
            <w:r w:rsidRPr="005B30EE">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41EB67" w14:textId="77777777" w:rsidR="005B30EE" w:rsidRDefault="005B30EE" w:rsidP="005B30EE">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t xml:space="preserve">En materia de negocio: aporta a la Comisión de Gobierno de IA la visión del ámbito de la Superintendencia Nacional Adjunta que lo designa. </w:t>
            </w:r>
          </w:p>
          <w:p w14:paraId="71793657" w14:textId="0A0F4648" w:rsidR="00B34A74" w:rsidRPr="005B30EE" w:rsidRDefault="005B30EE" w:rsidP="005B30EE">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lastRenderedPageBreak/>
              <w:t>Contribuye a la evaluación del componente de IA con el conocimiento operativo de los procesos de dicho ámbito y de su impacto en los administrados. Su participación es permanente y no sustituye la del propietario del caso de uso, a quien la Comisión convoca cuando se evalúa un caso de uso de su proceso, conforme al numeral</w:t>
            </w:r>
            <w:r w:rsidR="005F3265">
              <w:rPr>
                <w:b w:val="0"/>
                <w:bCs w:val="0"/>
                <w:highlight w:val="lightGray"/>
              </w:rPr>
              <w:t xml:space="preserve"> </w:t>
            </w:r>
            <w:r w:rsidRPr="005B30EE">
              <w:rPr>
                <w:b w:val="0"/>
                <w:bCs w:val="0"/>
                <w:highlight w:val="lightGray"/>
              </w:rPr>
              <w:t>5.3.2.</w:t>
            </w:r>
          </w:p>
        </w:tc>
      </w:tr>
      <w:tr w:rsidR="00B34A74" w14:paraId="1CD4B12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0565D"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lastRenderedPageBreak/>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FDF1AB" w14:textId="77777777" w:rsidR="00B34A74" w:rsidRDefault="00B34A74" w:rsidP="00904C72">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2D1CB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Define las estrategias de gestión de recursos humanos relacionadas con la adopción y el uso de los SBIA.</w:t>
            </w:r>
          </w:p>
          <w:p w14:paraId="56B2779C"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Conduce las acciones de sensibilización, concientización y capacitación en IA, diferenciadas por grupos de uso de SBIA.</w:t>
            </w:r>
          </w:p>
          <w:p w14:paraId="17A3763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Lidera la gestión del cambio asociada a la adopción de la inteligencia artificial en el ámbito de las personas.</w:t>
            </w:r>
          </w:p>
          <w:p w14:paraId="74F9D318"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2F2440BF"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bl>
    <w:p w14:paraId="59792E3A" w14:textId="77777777" w:rsidR="00863A18" w:rsidRPr="00923C59" w:rsidRDefault="00863A18" w:rsidP="00B23382">
      <w:pPr>
        <w:pStyle w:val="Ttulo1"/>
        <w:spacing w:line="276" w:lineRule="auto"/>
        <w:rPr>
          <w:rFonts w:cs="Arial"/>
          <w:szCs w:val="22"/>
        </w:rPr>
      </w:pPr>
      <w:bookmarkStart w:id="7" w:name="_Toc235003966"/>
      <w:r>
        <w:rPr>
          <w:rFonts w:cs="Arial"/>
          <w:bCs/>
          <w:color w:val="000000"/>
          <w:szCs w:val="22"/>
        </w:rPr>
        <w:t>DISPOSICIONES ESPECÍFICAS</w:t>
      </w:r>
      <w:bookmarkEnd w:id="7"/>
    </w:p>
    <w:p w14:paraId="18EF5179"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30153FBD" w14:textId="77777777" w:rsidR="00863A18" w:rsidRPr="00923C59" w:rsidRDefault="00863A18" w:rsidP="00B23382">
      <w:pPr>
        <w:pStyle w:val="SubtituloDONI"/>
        <w:spacing w:line="276" w:lineRule="auto"/>
        <w:ind w:left="851"/>
      </w:pPr>
      <w:r>
        <w:t>6.1</w:t>
      </w:r>
      <w:r>
        <w:tab/>
        <w:t>Del ciclo de vida de los SBIA</w:t>
      </w:r>
    </w:p>
    <w:p w14:paraId="3A3AF2A7" w14:textId="77777777" w:rsidR="00863A18" w:rsidRPr="00923C59" w:rsidRDefault="00E950CF"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w:t>
      </w:r>
      <w:r>
        <w:rPr>
          <w:rFonts w:ascii="Arial" w:eastAsia="Arial" w:hAnsi="Arial" w:cs="Arial"/>
          <w:color w:val="000000"/>
        </w:rPr>
        <w:tab/>
        <w:t>Todo SBIA en la SUNAT sigue un ciclo de vida gestionado con las siguientes etapas:</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50"/>
        <w:gridCol w:w="2427"/>
      </w:tblGrid>
      <w:tr w:rsidR="00E950CF" w:rsidRPr="00923C59" w14:paraId="501327E5"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27BC4F7" w14:textId="77777777" w:rsidR="00E950CF" w:rsidRPr="00923C59" w:rsidRDefault="00E950CF" w:rsidP="00B23382">
            <w:pPr>
              <w:spacing w:before="20" w:after="20" w:line="276" w:lineRule="auto"/>
              <w:rPr>
                <w:rFonts w:ascii="Arial" w:hAnsi="Arial" w:cs="Arial"/>
              </w:rPr>
            </w:pPr>
            <w:r>
              <w:rPr>
                <w:rFonts w:ascii="Arial" w:eastAsia="Arial" w:hAnsi="Arial" w:cs="Arial"/>
                <w:b/>
                <w:bCs/>
              </w:rPr>
              <w:lastRenderedPageBreak/>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13FF87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E2BEB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25E4A82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70A2FD4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EE6C96"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C87BA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3C823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5D76CA" w14:textId="77777777" w:rsidR="00E67A73" w:rsidRDefault="00000000">
            <w:pPr>
              <w:spacing w:before="20" w:after="20" w:line="276" w:lineRule="auto"/>
              <w:rPr>
                <w:rFonts w:ascii="Arial" w:hAnsi="Arial" w:cs="Arial"/>
              </w:rPr>
            </w:pPr>
            <w:r>
              <w:rPr>
                <w:rFonts w:ascii="Arial" w:eastAsia="Arial" w:hAnsi="Arial" w:cs="Arial"/>
                <w:highlight w:val="yellow"/>
              </w:rPr>
              <w:t>La Comisión de Gobierno de IA evalúa la Ficha y eleva la recomendación fundamentada. Aprobación conforme al numeral 6.1.2.</w:t>
            </w:r>
          </w:p>
        </w:tc>
      </w:tr>
      <w:tr w:rsidR="00E950CF" w:rsidRPr="00923C59" w14:paraId="37A6D1E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DC2540" w14:textId="77777777" w:rsidR="00E950CF" w:rsidRPr="00923C59" w:rsidRDefault="00E950CF" w:rsidP="00B23382">
            <w:pPr>
              <w:spacing w:before="20" w:after="20" w:line="276" w:lineRule="auto"/>
              <w:rPr>
                <w:rFonts w:ascii="Arial" w:hAnsi="Arial" w:cs="Arial"/>
              </w:rPr>
            </w:pPr>
            <w:r>
              <w:rPr>
                <w:rFonts w:ascii="Arial" w:eastAsia="Arial" w:hAnsi="Arial" w:cs="Arial"/>
              </w:rPr>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8DDD9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7AE5C9" w14:textId="77777777" w:rsidR="00E67A73" w:rsidRDefault="00000000">
            <w:pPr>
              <w:spacing w:before="20" w:after="20" w:line="276" w:lineRule="auto"/>
              <w:rPr>
                <w:rFonts w:ascii="Arial" w:hAnsi="Arial" w:cs="Arial"/>
              </w:rPr>
            </w:pPr>
            <w:r>
              <w:rPr>
                <w:rFonts w:ascii="Arial" w:eastAsia="Arial" w:hAnsi="Arial" w:cs="Arial"/>
                <w:highlight w:val="yellow"/>
              </w:rPr>
              <w:t>La Comisión de Gobierno de IA coordina la evaluación técnica, legal, ética y operativa de la iniciativa y propone la clasificación de riesgo del SBIA, conforme al numeral 6.2.</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CE3A7E" w14:textId="77777777" w:rsidR="00E67A73" w:rsidRDefault="00000000">
            <w:pPr>
              <w:spacing w:before="20" w:after="20" w:line="276" w:lineRule="auto"/>
              <w:rPr>
                <w:rFonts w:ascii="Arial" w:hAnsi="Arial" w:cs="Arial"/>
              </w:rPr>
            </w:pPr>
            <w:r>
              <w:rPr>
                <w:rFonts w:ascii="Arial" w:eastAsia="Arial" w:hAnsi="Arial" w:cs="Arial"/>
                <w:highlight w:val="yellow"/>
              </w:rPr>
              <w:t>Aprobación de la clasificación de riesgo y de la viabilidad de la iniciativa, conforme al numeral 6.1.2.</w:t>
            </w:r>
          </w:p>
        </w:tc>
      </w:tr>
      <w:tr w:rsidR="00E950CF" w:rsidRPr="00923C59" w14:paraId="1E428106"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CEAA57"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6979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6C339" w14:textId="77777777" w:rsidR="00E67A73" w:rsidRDefault="00000000">
            <w:pPr>
              <w:spacing w:before="20" w:after="20" w:line="276" w:lineRule="auto"/>
              <w:rPr>
                <w:rFonts w:ascii="Arial" w:hAnsi="Arial" w:cs="Arial"/>
              </w:rPr>
            </w:pPr>
            <w:r>
              <w:rPr>
                <w:rFonts w:ascii="Arial" w:eastAsia="Arial" w:hAnsi="Arial" w:cs="Arial"/>
                <w:highlight w:val="yellow"/>
              </w:rPr>
              <w:t>La GA conduce el diseño de la arquitectura del SBIA. Se define el mecanismo de supervisión humana, conforme al numeral 6.6. Para los SBIA de 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2C4AE8" w14:textId="77777777" w:rsidR="00E67A73" w:rsidRDefault="00000000">
            <w:pPr>
              <w:spacing w:before="20" w:after="20" w:line="276" w:lineRule="auto"/>
              <w:rPr>
                <w:rFonts w:ascii="Arial" w:hAnsi="Arial" w:cs="Arial"/>
              </w:rPr>
            </w:pPr>
            <w:r>
              <w:rPr>
                <w:rFonts w:ascii="Arial" w:eastAsia="Arial" w:hAnsi="Arial" w:cs="Arial"/>
                <w:highlight w:val="yellow"/>
              </w:rPr>
              <w:t>Aprobación de arquitectura por GA (INSI). Para SBIA de riesgo alto, aprobación de la EIA por el CGTD, previa al inicio del desarrollo o adquisición.</w:t>
            </w:r>
          </w:p>
        </w:tc>
      </w:tr>
      <w:tr w:rsidR="00E950CF" w:rsidRPr="00923C59" w14:paraId="7E26E27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C7561" w14:textId="77777777" w:rsidR="00E950CF" w:rsidRPr="00923C59" w:rsidRDefault="00E950CF" w:rsidP="00B23382">
            <w:pPr>
              <w:spacing w:before="20" w:after="20" w:line="276" w:lineRule="auto"/>
              <w:rPr>
                <w:rFonts w:ascii="Arial" w:hAnsi="Arial" w:cs="Arial"/>
              </w:rPr>
            </w:pPr>
            <w:r>
              <w:rPr>
                <w:rFonts w:ascii="Arial" w:eastAsia="Arial" w:hAnsi="Arial" w:cs="Arial"/>
              </w:rPr>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0FFEE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B2B6B7" w14:textId="77777777" w:rsidR="00E67A73" w:rsidRDefault="00000000">
            <w:pPr>
              <w:spacing w:before="20" w:after="20" w:line="276" w:lineRule="auto"/>
              <w:rPr>
                <w:rFonts w:ascii="Arial" w:hAnsi="Arial" w:cs="Arial"/>
              </w:rPr>
            </w:pPr>
            <w:r>
              <w:rPr>
                <w:rFonts w:ascii="Arial" w:eastAsia="Arial" w:hAnsi="Arial" w:cs="Arial"/>
                <w:highlight w:val="yellow"/>
              </w:rPr>
              <w:t>Las gerencias competentes de la INSI ejecutan el desarrollo del SBIA o gestionan su adquisición. La Oficina de Seguridad Informática evalúa y propone los requisitos de seguridad del SBIA, los cuales se incorporan como requisitos no funcionales.</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18594E" w14:textId="77777777" w:rsidR="00E950CF" w:rsidRPr="00923C59" w:rsidRDefault="00E950CF" w:rsidP="00B23382">
            <w:pPr>
              <w:spacing w:before="20" w:after="20" w:line="276" w:lineRule="auto"/>
              <w:rPr>
                <w:rFonts w:ascii="Arial" w:hAnsi="Arial" w:cs="Arial"/>
              </w:rPr>
            </w:pPr>
            <w:r>
              <w:rPr>
                <w:rFonts w:ascii="Arial" w:eastAsia="Arial" w:hAnsi="Arial" w:cs="Arial"/>
              </w:rPr>
              <w:t>En desarrollo interno: Conformidad de Gerencia de Desarrollo de Sistemas (INSI). En adquisición: Conformidad de la gerencia INSI responsable.</w:t>
            </w:r>
          </w:p>
        </w:tc>
      </w:tr>
      <w:tr w:rsidR="00E950CF" w:rsidRPr="00923C59" w14:paraId="49057DB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CB0D55" w14:textId="77777777" w:rsidR="00E950CF" w:rsidRPr="00923C59" w:rsidRDefault="00E950CF" w:rsidP="00B23382">
            <w:pPr>
              <w:spacing w:before="20" w:after="20" w:line="276" w:lineRule="auto"/>
              <w:rPr>
                <w:rFonts w:ascii="Arial" w:hAnsi="Arial" w:cs="Arial"/>
              </w:rPr>
            </w:pPr>
            <w:r>
              <w:rPr>
                <w:rFonts w:ascii="Arial" w:eastAsia="Arial" w:hAnsi="Arial" w:cs="Arial"/>
              </w:rPr>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CB338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54824"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D759A" w14:textId="77777777" w:rsidR="00E67A73" w:rsidRDefault="00000000">
            <w:pPr>
              <w:spacing w:before="20" w:after="20" w:line="276" w:lineRule="auto"/>
              <w:rPr>
                <w:rFonts w:ascii="Arial" w:hAnsi="Arial" w:cs="Arial"/>
              </w:rPr>
            </w:pPr>
            <w:r>
              <w:rPr>
                <w:rFonts w:ascii="Arial" w:eastAsia="Arial" w:hAnsi="Arial" w:cs="Arial"/>
                <w:highlight w:val="yellow"/>
              </w:rPr>
              <w:t xml:space="preserve">La Gerencia de Calidad de Sistemas conduce las pruebas de verificación y validación de calidad, y la Oficina de Seguridad Informática efectúa el análisis de riesgo y las pruebas de vulnerabilidad, incluido el red teaming </w:t>
            </w:r>
            <w:r>
              <w:rPr>
                <w:rFonts w:ascii="Arial" w:eastAsia="Arial" w:hAnsi="Arial" w:cs="Arial"/>
                <w:highlight w:val="yellow"/>
              </w:rPr>
              <w:lastRenderedPageBreak/>
              <w:t>para riesgo alto. Con la conformidad de ambas y de la unidad de organización propietaria del caso de uso, la aprobación corresponde conforme al numeral 6.1.2.</w:t>
            </w:r>
          </w:p>
        </w:tc>
      </w:tr>
      <w:tr w:rsidR="00E950CF" w:rsidRPr="00923C59" w14:paraId="7BAC85D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B3ED1A"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9BFDA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5F99CF"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9C6A73" w14:textId="77777777" w:rsidR="0018147B" w:rsidRDefault="00000000">
            <w:pPr>
              <w:spacing w:before="20" w:after="20" w:line="276" w:lineRule="auto"/>
              <w:rPr>
                <w:rFonts w:ascii="Arial" w:hAnsi="Arial" w:cs="Arial"/>
              </w:rPr>
            </w:pPr>
            <w:r>
              <w:rPr>
                <w:rFonts w:ascii="Arial" w:eastAsia="Arial" w:hAnsi="Arial" w:cs="Arial"/>
                <w:highlight w:val="yellow"/>
              </w:rPr>
              <w:t>Conformidad de la Gerencia de Operaciones y Soporte a Usuarios (INSI).</w:t>
            </w:r>
          </w:p>
        </w:tc>
      </w:tr>
      <w:tr w:rsidR="00E950CF" w:rsidRPr="00923C59" w14:paraId="4380B9A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9818B9"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35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64180"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5BB020"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2FFBF3F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5F2970"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58B80"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8570DD" w14:textId="77777777" w:rsidR="00E67A73" w:rsidRDefault="00000000">
            <w:pPr>
              <w:spacing w:before="20" w:after="20" w:line="276" w:lineRule="auto"/>
              <w:rPr>
                <w:rFonts w:ascii="Arial" w:hAnsi="Arial" w:cs="Arial"/>
              </w:rPr>
            </w:pPr>
            <w:r>
              <w:rPr>
                <w:rFonts w:ascii="Arial" w:eastAsia="Arial" w:hAnsi="Arial" w:cs="Arial"/>
                <w:highlight w:val="yellow"/>
              </w:rPr>
              <w:t>Retiro del SBIA asegurando la preservación de los registros y la continuidad del servicio. Se 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478D14" w14:textId="77777777" w:rsidR="00E67A73" w:rsidRDefault="00000000">
            <w:pPr>
              <w:spacing w:before="20" w:after="20" w:line="276" w:lineRule="auto"/>
              <w:rPr>
                <w:rFonts w:ascii="Arial" w:hAnsi="Arial" w:cs="Arial"/>
              </w:rPr>
            </w:pPr>
            <w:r>
              <w:rPr>
                <w:rFonts w:ascii="Arial" w:eastAsia="Arial" w:hAnsi="Arial" w:cs="Arial"/>
                <w:highlight w:val="yellow"/>
              </w:rPr>
              <w:t>Aprobación conforme al numeral 6.1.2. Actualización del Inventario Institucional de SBIA.</w:t>
            </w:r>
          </w:p>
        </w:tc>
      </w:tr>
    </w:tbl>
    <w:p w14:paraId="6FCBDB78" w14:textId="77777777" w:rsidR="00E950CF" w:rsidRPr="00923C59" w:rsidRDefault="00E950CF" w:rsidP="00B23382">
      <w:pPr>
        <w:spacing w:after="60" w:line="276" w:lineRule="auto"/>
        <w:jc w:val="both"/>
        <w:rPr>
          <w:rFonts w:ascii="Arial" w:eastAsia="Arial" w:hAnsi="Arial" w:cs="Arial"/>
          <w:color w:val="000000"/>
        </w:rPr>
      </w:pPr>
    </w:p>
    <w:p w14:paraId="7AAF6B06" w14:textId="77777777" w:rsidR="00E67A73"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6.1.2</w:t>
      </w:r>
      <w:r>
        <w:rPr>
          <w:rFonts w:ascii="Arial" w:hAnsi="Arial" w:cs="Arial"/>
          <w:color w:val="000000"/>
          <w:highlight w:val="cyan"/>
        </w:rPr>
        <w:tab/>
        <w:t>Los hitos de aprobación del ciclo de vida corresponden al CGTD en los SBIA de riesgo alto y en los estratégicos para la entidad, y a la Comisión de Gobierno de IA en los SBIA de riesgo aceptable. La Comisión informa al CGTD de las aprobaciones que otorga. En los SBIA de riesgo alto, todas las etapas e hitos son obligatorios. En los subniveles de riesgo aceptable, la Comisión puede aprobar un ciclo de vida simplificado y documentado.</w:t>
      </w:r>
    </w:p>
    <w:p w14:paraId="36A9BCB1"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r>
      <w:r>
        <w:rPr>
          <w:rFonts w:ascii="Arial" w:eastAsia="Arial" w:hAnsi="Arial" w:cs="Arial"/>
          <w:color w:val="000000"/>
          <w:highlight w:val="yellow"/>
        </w:rPr>
        <w:tab/>
        <w:t>Los SBIA SaaS (enfoque A) siguen un ciclo de vida abreviado que comprende el registro en el Inventario Institucional de SBIA, la clasificación de riesgo conforme al numeral 6.2 y las verificaciones previstas en el numeral 6.12.</w:t>
      </w:r>
    </w:p>
    <w:p w14:paraId="28B8A15A"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6.1.4</w:t>
      </w:r>
      <w:r>
        <w:rPr>
          <w:rFonts w:ascii="Arial" w:eastAsia="Arial" w:hAnsi="Arial" w:cs="Arial"/>
          <w:color w:val="000000"/>
          <w:highlight w:val="yellow"/>
        </w:rPr>
        <w:tab/>
        <w:t>La Comisión de Gobierno de IA distingue dos situaciones respecto de un caso de uso de SBIA:</w:t>
      </w:r>
    </w:p>
    <w:p w14:paraId="4E12C55F" w14:textId="77777777" w:rsidR="0018147B" w:rsidRPr="00344C8A" w:rsidRDefault="00000000" w:rsidP="00344C8A">
      <w:pPr>
        <w:pStyle w:val="Prrafodelista"/>
        <w:numPr>
          <w:ilvl w:val="1"/>
          <w:numId w:val="22"/>
        </w:numPr>
        <w:spacing w:before="0" w:after="60" w:line="276" w:lineRule="auto"/>
        <w:ind w:left="1701"/>
        <w:rPr>
          <w:b w:val="0"/>
          <w:bCs w:val="0"/>
        </w:rPr>
      </w:pPr>
      <w:r>
        <w:rPr>
          <w:b w:val="0"/>
          <w:bCs w:val="0"/>
          <w:color w:val="000000"/>
          <w:highlight w:val="yellow"/>
        </w:rPr>
        <w:t>Observaciones subsanables (acompañamiento). Cuando la iniciativa presenta debilidades en el análisis de generación de valor, no cuenta con presupuesto identificado o la Ficha de Evaluación de Caso de Uso (Anexo N.° 4) está incompleta, la Comisión de Gobierno de IA brinda acompañamiento al propietario del caso de uso para fortalecer la propuesta antes de elevarla nuevamente. Ninguna iniciativa se descarta por estas causas.</w:t>
      </w:r>
    </w:p>
    <w:p w14:paraId="412AB8E2" w14:textId="77777777" w:rsidR="0018147B" w:rsidRPr="00344C8A" w:rsidRDefault="00000000" w:rsidP="00344C8A">
      <w:pPr>
        <w:pStyle w:val="Prrafodelista"/>
        <w:numPr>
          <w:ilvl w:val="1"/>
          <w:numId w:val="22"/>
        </w:numPr>
        <w:spacing w:after="60" w:line="276" w:lineRule="auto"/>
        <w:ind w:left="1701"/>
        <w:rPr>
          <w:b w:val="0"/>
          <w:bCs w:val="0"/>
          <w:color w:val="000000"/>
        </w:rPr>
      </w:pPr>
      <w:r>
        <w:rPr>
          <w:b w:val="0"/>
          <w:bCs w:val="0"/>
          <w:color w:val="000000"/>
          <w:highlight w:val="yellow"/>
        </w:rPr>
        <w:lastRenderedPageBreak/>
        <w:t xml:space="preserve">No procedencia. Cuando el SBIA es clasificado como de </w:t>
      </w:r>
      <w:r>
        <w:rPr>
          <w:b w:val="0"/>
          <w:bCs w:val="0"/>
          <w:color w:val="000000"/>
          <w:highlight w:val="cyan"/>
        </w:rPr>
        <w:t>uso indebido</w:t>
      </w:r>
      <w:r>
        <w:rPr>
          <w:b w:val="0"/>
          <w:bCs w:val="0"/>
          <w:color w:val="000000"/>
          <w:highlight w:val="yellow"/>
        </w:rPr>
        <w:t xml:space="preserve"> conforme al artículo 23 del RLIA, contraviene la Política de Uso Seguro, Responsable y Ético de los SBIA o la normativa vigente, o no cuenta con pronunciamiento favorable de la Comisión de Gobierno de IA sobre su viabilidad técnica, la Comisión fundamenta por escrito la no procedencia y la eleva al CGTD para su decisión definitiva en acta.</w:t>
      </w:r>
    </w:p>
    <w:p w14:paraId="1F039B1B" w14:textId="77777777" w:rsidR="00E67A73" w:rsidRDefault="00000000">
      <w:pPr>
        <w:spacing w:after="60" w:line="276" w:lineRule="auto"/>
        <w:ind w:left="1276"/>
        <w:jc w:val="both"/>
        <w:rPr>
          <w:rFonts w:ascii="Arial" w:eastAsia="Arial" w:hAnsi="Arial" w:cs="Arial"/>
          <w:color w:val="000000"/>
        </w:rPr>
      </w:pPr>
      <w:r>
        <w:rPr>
          <w:rFonts w:ascii="Arial" w:eastAsia="Arial" w:hAnsi="Arial" w:cs="Arial"/>
          <w:color w:val="000000"/>
          <w:highlight w:val="yellow"/>
        </w:rPr>
        <w:t>En la evaluación de la generación de valor, el beneficio puede sustentarse a nivel de un conjunto o programa de SBIA cuando la iniciativa forme parte de un portafolio, e incluir beneficios cualitativos y de control de procesos además de los cuantitativos.</w:t>
      </w:r>
    </w:p>
    <w:p w14:paraId="68622EF3" w14:textId="41A52F76" w:rsidR="00E67A73" w:rsidRDefault="00000000" w:rsidP="00166F8B">
      <w:pPr>
        <w:spacing w:after="60" w:line="276" w:lineRule="auto"/>
        <w:ind w:left="1276" w:hanging="720"/>
        <w:jc w:val="both"/>
        <w:rPr>
          <w:rFonts w:ascii="Arial" w:eastAsia="Arial" w:hAnsi="Arial" w:cs="Arial"/>
          <w:color w:val="000000"/>
        </w:rPr>
      </w:pPr>
      <w:r w:rsidRPr="00166F8B">
        <w:rPr>
          <w:rFonts w:ascii="Arial" w:hAnsi="Arial" w:cs="Arial"/>
          <w:color w:val="000000"/>
          <w:highlight w:val="lightGray"/>
        </w:rPr>
        <w:t>6.1.5</w:t>
      </w:r>
      <w:r w:rsidRPr="00166F8B">
        <w:rPr>
          <w:rFonts w:ascii="Arial" w:hAnsi="Arial" w:cs="Arial"/>
          <w:color w:val="000000"/>
          <w:highlight w:val="lightGray"/>
        </w:rPr>
        <w:tab/>
      </w:r>
      <w:r w:rsidR="00166F8B" w:rsidRPr="00166F8B">
        <w:rPr>
          <w:rFonts w:ascii="Arial" w:hAnsi="Arial" w:cs="Arial"/>
          <w:color w:val="000000"/>
          <w:highlight w:val="lightGray"/>
        </w:rPr>
        <w:t>La INSI desarrolla y aprueba, conforme a sus competencias y a la METDONI, la metodología del ciclo de vida del SBIA previsto en el numeral 6.1.1.</w:t>
      </w:r>
      <w:r w:rsidR="00A72414">
        <w:rPr>
          <w:rFonts w:ascii="Arial" w:hAnsi="Arial" w:cs="Arial"/>
          <w:color w:val="000000"/>
          <w:highlight w:val="lightGray"/>
        </w:rPr>
        <w:t xml:space="preserve"> </w:t>
      </w:r>
      <w:r w:rsidR="00166F8B" w:rsidRPr="00166F8B">
        <w:rPr>
          <w:rFonts w:ascii="Arial" w:hAnsi="Arial" w:cs="Arial"/>
          <w:color w:val="000000"/>
          <w:highlight w:val="lightGray"/>
        </w:rPr>
        <w:t xml:space="preserve">Por comprender actuaciones a cargo de unidades de organización distintas de la INSI, su formulación recoge los aportes de dichas unidades y su aprobación requiere la opinión favorable de la Comisión de Gobierno de IA, en ejercicio de las facultades previstas en el literal h del numeral 6.4 y en el numeral 6.5 de la METDONI. La metodología comprende, como mínimo: la aplicación de la clasificación de riesgo y de la evaluación de impacto algorítmico, los criterios técnicos de diseño de la arquitectura de los SBIA, el contenido de los entregables de cada etapa, los tipos y las técnicas de prueba aplicables según el nivel de riesgo, </w:t>
      </w:r>
      <w:r w:rsidR="00532CB5" w:rsidRPr="00532CB5">
        <w:rPr>
          <w:rFonts w:ascii="Arial" w:hAnsi="Arial" w:cs="Arial"/>
          <w:color w:val="000000"/>
          <w:highlight w:val="lightGray"/>
        </w:rPr>
        <w:t xml:space="preserve">los controles de </w:t>
      </w:r>
      <w:r w:rsidR="00532CB5" w:rsidRPr="00532CB5">
        <w:rPr>
          <w:rFonts w:ascii="Arial" w:hAnsi="Arial" w:cs="Arial"/>
          <w:color w:val="000000"/>
          <w:highlight w:val="lightGray"/>
        </w:rPr>
        <w:t>contención</w:t>
      </w:r>
      <w:r w:rsidR="00532CB5" w:rsidRPr="00532CB5">
        <w:rPr>
          <w:rFonts w:ascii="Arial" w:hAnsi="Arial" w:cs="Arial"/>
          <w:color w:val="000000"/>
          <w:highlight w:val="lightGray"/>
        </w:rPr>
        <w:t xml:space="preserve">, las </w:t>
      </w:r>
      <w:r w:rsidR="00532CB5" w:rsidRPr="00532CB5">
        <w:rPr>
          <w:rFonts w:ascii="Arial" w:hAnsi="Arial" w:cs="Arial"/>
          <w:color w:val="000000"/>
          <w:highlight w:val="lightGray"/>
        </w:rPr>
        <w:t>prácticas</w:t>
      </w:r>
      <w:r w:rsidR="00532CB5" w:rsidRPr="00532CB5">
        <w:rPr>
          <w:rFonts w:ascii="Arial" w:hAnsi="Arial" w:cs="Arial"/>
          <w:color w:val="000000"/>
          <w:highlight w:val="lightGray"/>
        </w:rPr>
        <w:t xml:space="preserve"> de monitoreo, la </w:t>
      </w:r>
      <w:r w:rsidR="00532CB5" w:rsidRPr="00532CB5">
        <w:rPr>
          <w:rFonts w:ascii="Arial" w:hAnsi="Arial" w:cs="Arial"/>
          <w:color w:val="000000"/>
          <w:highlight w:val="lightGray"/>
        </w:rPr>
        <w:t>gestión</w:t>
      </w:r>
      <w:r w:rsidR="00532CB5" w:rsidRPr="00532CB5">
        <w:rPr>
          <w:rFonts w:ascii="Arial" w:hAnsi="Arial" w:cs="Arial"/>
          <w:color w:val="000000"/>
          <w:highlight w:val="lightGray"/>
        </w:rPr>
        <w:t xml:space="preserve"> de los cambios sobre los SBIA en </w:t>
      </w:r>
      <w:r w:rsidR="00532CB5" w:rsidRPr="00532CB5">
        <w:rPr>
          <w:rFonts w:ascii="Arial" w:hAnsi="Arial" w:cs="Arial"/>
          <w:color w:val="000000"/>
          <w:highlight w:val="lightGray"/>
        </w:rPr>
        <w:t>operación</w:t>
      </w:r>
      <w:r w:rsidR="00532CB5" w:rsidRPr="00532CB5">
        <w:rPr>
          <w:rFonts w:ascii="Arial" w:hAnsi="Arial" w:cs="Arial"/>
          <w:color w:val="000000"/>
          <w:highlight w:val="lightGray"/>
        </w:rPr>
        <w:t xml:space="preserve">, incluidos los criterios de </w:t>
      </w:r>
      <w:r w:rsidR="00532CB5" w:rsidRPr="00532CB5">
        <w:rPr>
          <w:rFonts w:ascii="Arial" w:hAnsi="Arial" w:cs="Arial"/>
          <w:color w:val="000000"/>
          <w:highlight w:val="lightGray"/>
        </w:rPr>
        <w:t>calificación</w:t>
      </w:r>
      <w:r w:rsidR="00532CB5" w:rsidRPr="00532CB5">
        <w:rPr>
          <w:rFonts w:ascii="Arial" w:hAnsi="Arial" w:cs="Arial"/>
          <w:color w:val="000000"/>
          <w:highlight w:val="lightGray"/>
        </w:rPr>
        <w:t xml:space="preserve"> del cambio significativo y el alcance de la </w:t>
      </w:r>
      <w:r w:rsidR="00532CB5" w:rsidRPr="00532CB5">
        <w:rPr>
          <w:rFonts w:ascii="Arial" w:hAnsi="Arial" w:cs="Arial"/>
          <w:color w:val="000000"/>
          <w:highlight w:val="lightGray"/>
        </w:rPr>
        <w:t>revalidación</w:t>
      </w:r>
      <w:r w:rsidR="00532CB5" w:rsidRPr="00532CB5">
        <w:rPr>
          <w:rFonts w:ascii="Arial" w:hAnsi="Arial" w:cs="Arial"/>
          <w:color w:val="000000"/>
          <w:highlight w:val="lightGray"/>
        </w:rPr>
        <w:t xml:space="preserve"> aplicable, y las condiciones de retiro.</w:t>
      </w:r>
      <w:r w:rsidR="00166F8B" w:rsidRPr="00532CB5">
        <w:rPr>
          <w:rFonts w:ascii="Arial" w:hAnsi="Arial" w:cs="Arial"/>
          <w:color w:val="000000"/>
          <w:highlight w:val="lightGray"/>
        </w:rPr>
        <w:t xml:space="preserve">. </w:t>
      </w:r>
      <w:r w:rsidR="00166F8B" w:rsidRPr="00166F8B">
        <w:rPr>
          <w:rFonts w:ascii="Arial" w:hAnsi="Arial" w:cs="Arial"/>
          <w:color w:val="000000"/>
          <w:highlight w:val="lightGray"/>
        </w:rPr>
        <w:t>En tanto no se apruebe, los SBIA siguen el ciclo de vida del numeral 6.1.1 y la normativa de desarrollo de sistemas vigente en la SUNAT.</w:t>
      </w:r>
    </w:p>
    <w:p w14:paraId="4B64236F" w14:textId="77777777" w:rsidR="00863A18" w:rsidRPr="00923C59" w:rsidRDefault="00863A18" w:rsidP="00B23382">
      <w:pPr>
        <w:pStyle w:val="SubtituloDONI"/>
        <w:spacing w:line="276" w:lineRule="auto"/>
        <w:ind w:left="851"/>
      </w:pPr>
      <w:r>
        <w:t>6.2</w:t>
      </w:r>
      <w:r>
        <w:tab/>
        <w:t>De la clasificación de los SBIA por nivel de riesgo</w:t>
      </w:r>
    </w:p>
    <w:p w14:paraId="5BB0242D" w14:textId="77777777" w:rsidR="000153F0"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6.2.1</w:t>
      </w:r>
      <w:r>
        <w:rPr>
          <w:rFonts w:ascii="Arial" w:hAnsi="Arial" w:cs="Arial"/>
          <w:color w:val="000000"/>
          <w:highlight w:val="cyan"/>
        </w:rPr>
        <w:tab/>
        <w:t>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 Para fines operativos de supervisión y monitoreo, el riesgo aceptable se subdivide en dos subniveles internos (aceptable-limitado y aceptable-mínimo), sin constituir una categoría adicional del RLIA. La clasificación y la gestión de los riesgos de los SBIA se alinean a la NTP-ISO 31000 vigente, de uso obligatorio conforme a la Sexta Disposición Complementaria Final del RLIA.</w:t>
      </w:r>
    </w:p>
    <w:p w14:paraId="0F68BDC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6.2.2</w:t>
      </w:r>
      <w:r>
        <w:rPr>
          <w:rFonts w:ascii="Arial" w:eastAsia="Arial" w:hAnsi="Arial" w:cs="Arial"/>
          <w:color w:val="000000"/>
          <w:highlight w:val="yellow"/>
        </w:rPr>
        <w:tab/>
      </w:r>
      <w:r>
        <w:rPr>
          <w:rFonts w:ascii="Arial" w:eastAsia="Arial" w:hAnsi="Arial" w:cs="Arial"/>
          <w:highlight w:val="cyan"/>
        </w:rPr>
        <w:t xml:space="preserve">Para la aplicación de la clasificación establecida, la Comisión de Gobierno de IA propone la clasificación de riesgo de las iniciativas que se presentan. </w:t>
      </w:r>
      <w:r>
        <w:rPr>
          <w:rFonts w:ascii="Arial" w:eastAsia="Arial" w:hAnsi="Arial" w:cs="Arial"/>
          <w:color w:val="000000"/>
          <w:highlight w:val="yellow"/>
        </w:rPr>
        <w:t xml:space="preserve">La opinión de la OII, en materia de ética, integridad y prevención de sesgos, y la de la INALI, en materia de cumplimiento normativo, constan de manera expresa en la propuesta. El CGTD aprueba la clasificación de las iniciativas de SBIA de </w:t>
      </w:r>
      <w:r>
        <w:rPr>
          <w:rFonts w:ascii="Arial" w:eastAsia="Arial" w:hAnsi="Arial" w:cs="Arial"/>
          <w:color w:val="000000"/>
          <w:highlight w:val="yellow"/>
        </w:rPr>
        <w:lastRenderedPageBreak/>
        <w:t xml:space="preserve">riesgo alto y de aquellos estratégicos para la entidad; la Comisión de Gobierno de IA aprueba la clasificación de los SBIA de riesgo aceptable e informa de ello al CGTD. </w:t>
      </w:r>
      <w:r>
        <w:rPr>
          <w:rFonts w:ascii="Arial" w:eastAsia="Arial" w:hAnsi="Arial" w:cs="Arial"/>
          <w:highlight w:val="cyan"/>
        </w:rPr>
        <w:t>La clasificación es parte de la evaluación de viabilidad de acuerdo al ciclo de vida descrito en el 6.1.1.</w:t>
      </w:r>
      <w:r>
        <w:rPr>
          <w:rFonts w:ascii="Arial" w:eastAsia="Arial" w:hAnsi="Arial" w:cs="Arial"/>
          <w:color w:val="000000"/>
          <w:highlight w:val="cyan"/>
        </w:rPr>
        <w:t xml:space="preserve"> La clasificación aplica los criterios de la Matriz de Clasificación de Riesgos (Anexo N.° 2); el detalle de su aplicación se desarrolla en la metodología prevista en el numeral 6.1.5.</w:t>
      </w:r>
    </w:p>
    <w:p w14:paraId="404600B8"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r>
      <w:r>
        <w:rPr>
          <w:rFonts w:ascii="Arial" w:eastAsia="Arial" w:hAnsi="Arial" w:cs="Arial"/>
          <w:color w:val="000000"/>
          <w:highlight w:val="yellow"/>
        </w:rPr>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mecanismos de supervisión humana, transparencia y auditabilidad para garantizar la no discriminación y la protección de los derechos fundamentales, conforme al numeral 23.4 del citado artículo.</w:t>
      </w:r>
    </w:p>
    <w:p w14:paraId="589662DE" w14:textId="77777777" w:rsidR="00F91DE2"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rPr>
        <w:t>6.2.4</w:t>
      </w:r>
      <w:r>
        <w:rPr>
          <w:rFonts w:ascii="Arial" w:eastAsia="Arial" w:hAnsi="Arial" w:cs="Arial"/>
          <w:color w:val="000000"/>
        </w:rPr>
        <w:tab/>
      </w:r>
      <w:r>
        <w:rPr>
          <w:rFonts w:ascii="Arial" w:eastAsia="Arial" w:hAnsi="Arial" w:cs="Arial"/>
          <w:color w:val="000000"/>
          <w:highlight w:val="cyan"/>
        </w:rPr>
        <w:t>La prohibición del uso indebido se asegura mediante la clasificación de riesgo previa y obligatoria, el filtro de no procedencia y el registro obligatorio en el Inventario Institucional de SBIA. Ante la duda sobre si un SBIA constituye uso indebido, la SUNAT puede formular a la SGTD la consulta prevista en el artículo 23 del RLIA.</w:t>
      </w:r>
    </w:p>
    <w:p w14:paraId="1C5BB831" w14:textId="77777777" w:rsidR="00863A18" w:rsidRPr="00923C59" w:rsidRDefault="00863A18" w:rsidP="00B23382">
      <w:pPr>
        <w:pStyle w:val="SubtituloDONI"/>
        <w:spacing w:line="276" w:lineRule="auto"/>
        <w:ind w:left="851"/>
      </w:pPr>
      <w:r>
        <w:t>6.3</w:t>
      </w:r>
      <w:r>
        <w:tab/>
        <w:t>Del Inventario Institucional de SBIA</w:t>
      </w:r>
    </w:p>
    <w:p w14:paraId="05B5E59A"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r>
      <w:r>
        <w:rPr>
          <w:rFonts w:ascii="Arial" w:eastAsia="Arial" w:hAnsi="Arial" w:cs="Arial"/>
          <w:color w:val="000000"/>
        </w:rPr>
        <w:tab/>
        <w:t>La Comisión de Gobierno de IA administra el Inventario Institucional de SBIA, donde registra todos los SBIA de la SUNAT. El registro es obligatorio y previo al inicio del desarrollo o adquisición. El Anexo N.° 1 define los campos mínimos.</w:t>
      </w:r>
    </w:p>
    <w:p w14:paraId="2E360875"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r>
      <w:r>
        <w:rPr>
          <w:rFonts w:ascii="Arial" w:eastAsia="Arial" w:hAnsi="Arial" w:cs="Arial"/>
          <w:color w:val="000000"/>
        </w:rPr>
        <w:tab/>
        <w:t>La Comisión de Gobierno de IA actualiza el Inventario permanentemente y lo revisa integralmente al menos una vez al año.</w:t>
      </w:r>
    </w:p>
    <w:p w14:paraId="69EF3D3A" w14:textId="77777777" w:rsidR="00863A18" w:rsidRPr="00923C59" w:rsidRDefault="00863A18" w:rsidP="00B23382">
      <w:pPr>
        <w:pStyle w:val="SubtituloDONI"/>
        <w:spacing w:line="276" w:lineRule="auto"/>
        <w:ind w:left="851"/>
      </w:pPr>
      <w:r>
        <w:t>6.4</w:t>
      </w:r>
      <w:r>
        <w:tab/>
        <w:t>De la evaluación de impacto algorítmico</w:t>
      </w:r>
    </w:p>
    <w:p w14:paraId="1A0CDA4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6.4.1</w:t>
      </w:r>
      <w:r>
        <w:rPr>
          <w:rFonts w:ascii="Arial" w:eastAsia="Arial" w:hAnsi="Arial" w:cs="Arial"/>
          <w:color w:val="000000"/>
          <w:highlight w:val="yellow"/>
        </w:rPr>
        <w:tab/>
        <w:t>Todo SBIA de riesgo alto debe contar con una EIA aprobada previamente a su desarrollo o implementación</w:t>
      </w:r>
      <w:r>
        <w:rPr>
          <w:rStyle w:val="Refdenotaalpie"/>
        </w:rPr>
        <w:footnoteReference w:id="1"/>
      </w:r>
      <w:r>
        <w:rPr>
          <w:rFonts w:ascii="Arial" w:eastAsia="Arial" w:hAnsi="Arial" w:cs="Arial"/>
          <w:color w:val="000000"/>
          <w:highlight w:val="yellow"/>
        </w:rPr>
        <w:t xml:space="preserve">.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7A1E8119"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cyan"/>
        </w:rPr>
        <w:t>6.4.2</w:t>
      </w:r>
      <w:r>
        <w:rPr>
          <w:rFonts w:ascii="Arial" w:hAnsi="Arial" w:cs="Arial"/>
          <w:color w:val="000000"/>
          <w:highlight w:val="cyan"/>
        </w:rPr>
        <w:tab/>
        <w:t>El propietario del caso de uso elabora la EIA con la participación del equipo técnico del SBIA, conformado por las gerencias de la INSI involucradas en su desarrollo o adquisición. La EIA incorpora los aspectos de negocio (en particular el impacto en el administrado) y los aspectos técnicos. La Comisión de Gobierno de IA, la OII y la INALI la revisan.</w:t>
      </w:r>
    </w:p>
    <w:p w14:paraId="7F4B9BD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6.4.3</w:t>
      </w:r>
      <w:r>
        <w:rPr>
          <w:rFonts w:ascii="Arial" w:eastAsia="Arial" w:hAnsi="Arial" w:cs="Arial"/>
          <w:color w:val="000000"/>
        </w:rPr>
        <w:tab/>
        <w:t>La Comisión de Gobierno de IA coordina la actualización de la EIA cuando se produzcan cambios significativos en el SBIA, datos o contexto de aplicación.</w:t>
      </w:r>
    </w:p>
    <w:p w14:paraId="12A62F0C"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lastRenderedPageBreak/>
        <w:t>6.4.4</w:t>
      </w:r>
      <w:r>
        <w:rPr>
          <w:rFonts w:ascii="Arial" w:eastAsia="Arial" w:hAnsi="Arial" w:cs="Arial"/>
          <w:color w:val="000000"/>
          <w:highlight w:val="yellow"/>
        </w:rPr>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2"/>
      </w:r>
      <w:r>
        <w:rPr>
          <w:rFonts w:ascii="Arial" w:eastAsia="Arial" w:hAnsi="Arial" w:cs="Arial"/>
          <w:color w:val="000000"/>
          <w:highlight w:val="yellow"/>
        </w:rPr>
        <w:t>.</w:t>
      </w:r>
    </w:p>
    <w:p w14:paraId="0C678BCC"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diseño, la operación y la seguridad de los SBIA</w:t>
      </w:r>
    </w:p>
    <w:p w14:paraId="7B6AB991" w14:textId="77777777" w:rsidR="00E67A73" w:rsidRDefault="00000000">
      <w:pPr>
        <w:pStyle w:val="SubtituloDONI"/>
        <w:spacing w:line="276" w:lineRule="auto"/>
        <w:ind w:left="851"/>
      </w:pPr>
      <w:r>
        <w:rPr>
          <w:highlight w:val="yellow"/>
        </w:rPr>
        <w:t>6.5</w:t>
      </w:r>
      <w:r>
        <w:rPr>
          <w:highlight w:val="yellow"/>
        </w:rPr>
        <w:tab/>
        <w:t>De la arquitectura y el software de los SBIA</w:t>
      </w:r>
    </w:p>
    <w:p w14:paraId="485DF32D"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6.5.1</w:t>
      </w:r>
      <w:r>
        <w:rPr>
          <w:rFonts w:ascii="Arial" w:eastAsia="Arial" w:hAnsi="Arial" w:cs="Arial"/>
          <w:color w:val="000000"/>
          <w:highlight w:val="yellow"/>
        </w:rPr>
        <w:tab/>
        <w:t>La GA conduce el diseño de la arquitectura de los SBIA, conforme a sus funciones (artículos 129 y 130, literal a, del ROF). La arquitectura de los SBIA promueve soluciones modulares y escalables y el uso de estándares abiertos que eviten la dependencia tecnológica de un único proveedor.</w:t>
      </w:r>
    </w:p>
    <w:p w14:paraId="5746D6CB"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6.5.2</w:t>
      </w:r>
      <w:r>
        <w:rPr>
          <w:rFonts w:ascii="Arial" w:eastAsia="Arial" w:hAnsi="Arial" w:cs="Arial"/>
          <w:color w:val="000000"/>
          <w:highlight w:val="yellow"/>
        </w:rPr>
        <w:tab/>
        <w:t>El desarrollo, la adquisición y la adecuación del software de los SBIA cumplen las disposiciones y los estándares técnicos sobre procesos del ciclo de vida del software aplicables a las entidades de la Administración Pública, conforme a la normatividad vigente</w:t>
      </w:r>
      <w:r>
        <w:rPr>
          <w:rStyle w:val="Refdenotaalpie"/>
        </w:rPr>
        <w:footnoteReference w:id="3"/>
      </w:r>
      <w:r>
        <w:rPr>
          <w:rFonts w:ascii="Arial" w:eastAsia="Arial" w:hAnsi="Arial" w:cs="Arial"/>
          <w:color w:val="000000"/>
          <w:highlight w:val="yellow"/>
        </w:rPr>
        <w:t>.</w:t>
      </w:r>
    </w:p>
    <w:p w14:paraId="2D8CEC60" w14:textId="7898CA60" w:rsidR="005C3A70" w:rsidRP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 xml:space="preserve">6.5.3    El diseño de la arquitectura de los SBIA observa los Principios de Arquitectura (AAT.PRAQ.01) y los Lineamientos de Arquitectura (LAT.LIAQ.01) de la SUNAT, en sus versiones vigentes, en lo que corresponda a su naturaleza. La GA adecua dichos instrumentos y los estándares de arquitectura de su competencia para incorporar los requisitos propios de los SBIA </w:t>
      </w:r>
      <w:r w:rsidR="00B27FA6">
        <w:rPr>
          <w:rFonts w:ascii="Arial" w:eastAsia="Arial" w:hAnsi="Arial" w:cs="Arial"/>
          <w:color w:val="000000"/>
          <w:highlight w:val="lightGray"/>
        </w:rPr>
        <w:t>(</w:t>
      </w:r>
      <w:r w:rsidRPr="005C3A70">
        <w:rPr>
          <w:rFonts w:ascii="Arial" w:eastAsia="Arial" w:hAnsi="Arial" w:cs="Arial"/>
          <w:color w:val="000000"/>
          <w:highlight w:val="lightGray"/>
        </w:rPr>
        <w:t>modelos, conjuntos de datos, componentes generativos y agenticos, e infraestructura especializada</w:t>
      </w:r>
      <w:r w:rsidR="00B27FA6">
        <w:rPr>
          <w:rFonts w:ascii="Arial" w:eastAsia="Arial" w:hAnsi="Arial" w:cs="Arial"/>
          <w:color w:val="000000"/>
          <w:highlight w:val="lightGray"/>
        </w:rPr>
        <w:t>),</w:t>
      </w:r>
      <w:r w:rsidRPr="005C3A70">
        <w:rPr>
          <w:rFonts w:ascii="Arial" w:eastAsia="Arial" w:hAnsi="Arial" w:cs="Arial"/>
          <w:color w:val="000000"/>
          <w:highlight w:val="lightGray"/>
        </w:rPr>
        <w:t xml:space="preserve"> conforme al literal c) del artículo 130 del ROF, y los aprueba mediante el documento normativo institucional que corresponda según la METDONI.</w:t>
      </w:r>
    </w:p>
    <w:p w14:paraId="003F2D17" w14:textId="77777777" w:rsid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6.5.4   Todo SBIA cuenta con la aprobación de su arquitectura de solución por la GA, previa al inicio del desarrollo, la adquisición o el entrenamiento, conforme a la etapa 3 del numeral 6.1.1. Los requisitos derivados del nivel de riesgo aprobado, incluidos los mecanismos de supervisión humana, explicabilidad y trazabilidad, se incorporan como requisitos no funcionales de la solución.</w:t>
      </w:r>
    </w:p>
    <w:p w14:paraId="3E104098" w14:textId="51207D41" w:rsidR="005C3A70" w:rsidRP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6.5.5</w:t>
      </w:r>
      <w:r>
        <w:rPr>
          <w:rFonts w:ascii="Arial" w:eastAsia="Arial" w:hAnsi="Arial" w:cs="Arial"/>
          <w:color w:val="000000"/>
          <w:highlight w:val="lightGray"/>
        </w:rPr>
        <w:t xml:space="preserve">   Los </w:t>
      </w:r>
      <w:r w:rsidRPr="005C3A70">
        <w:rPr>
          <w:rFonts w:ascii="Arial" w:eastAsia="Arial" w:hAnsi="Arial" w:cs="Arial"/>
          <w:color w:val="000000"/>
          <w:highlight w:val="lightGray"/>
        </w:rPr>
        <w:t>SBIA que ejecuten acciones sobre sistemas, datos o procesos con algún grado de autonomía</w:t>
      </w:r>
      <w:r>
        <w:rPr>
          <w:rFonts w:ascii="Arial" w:eastAsia="Arial" w:hAnsi="Arial" w:cs="Arial"/>
          <w:color w:val="000000"/>
          <w:highlight w:val="lightGray"/>
        </w:rPr>
        <w:t xml:space="preserve"> </w:t>
      </w:r>
      <w:r w:rsidRPr="005C3A70">
        <w:rPr>
          <w:rFonts w:ascii="Arial" w:eastAsia="Arial" w:hAnsi="Arial" w:cs="Arial"/>
          <w:color w:val="000000"/>
          <w:highlight w:val="lightGray"/>
        </w:rPr>
        <w:t>incorporan mecanismos de autorización, restricción y registro de dichas acciones, proporcionales al nivel de riesgo aprobado y al grado de autonomía asignado. El propietario del caso de uso define el alcance de las acciones autorizadas; la GA verifica su implementación antes del despliegue.</w:t>
      </w:r>
    </w:p>
    <w:p w14:paraId="3ADA6EC5" w14:textId="77777777" w:rsidR="005C3A70" w:rsidRP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6.5.6 Los SBIA generativos que utilicen información institucional incorporan mecanismos que vinculen los resultados generados con sus fuentes de información autorizadas y vigentes. Esta trazabilidad sustenta la explicabilidad exigida en el numeral 6.9.3.</w:t>
      </w:r>
    </w:p>
    <w:p w14:paraId="7F04C0CC" w14:textId="704801AF" w:rsidR="005C3A70" w:rsidRDefault="005C3A70" w:rsidP="005C3A70">
      <w:pPr>
        <w:spacing w:after="60" w:line="276" w:lineRule="auto"/>
        <w:ind w:left="1276" w:hanging="720"/>
        <w:jc w:val="both"/>
        <w:rPr>
          <w:rFonts w:ascii="Arial" w:eastAsia="Arial" w:hAnsi="Arial" w:cs="Arial"/>
          <w:color w:val="000000"/>
        </w:rPr>
      </w:pPr>
      <w:r w:rsidRPr="005C3A70">
        <w:rPr>
          <w:rFonts w:ascii="Arial" w:eastAsia="Arial" w:hAnsi="Arial" w:cs="Arial"/>
          <w:color w:val="000000"/>
          <w:highlight w:val="lightGray"/>
        </w:rPr>
        <w:lastRenderedPageBreak/>
        <w:t xml:space="preserve">6.5.7   La publicación del código fuente de los SBIA financiados con fondos públicos, con licencia libre o abierta en la Plataforma Nacional de Software Público Peruano (PNSSP), se sujeta a la determinación previa de su publicabilidad. Dicha determinación verifica que el código no revele información sujeta a reserva tributaria conforme al artículo 85 del TUO del Código Tributario, información protegida por confidencialidad aduanera, ni reglas de detección de riesgo cuya divulgación comprometa la función de control. La GA, con opinión de la INALI y de la Oficina de Seguridad Informática, determina la publicabilidad antes de cada liberación mayor; la GDS ejecuta la publicación cuando corresponda. </w:t>
      </w:r>
    </w:p>
    <w:p w14:paraId="53AB1498" w14:textId="77777777" w:rsidR="00863A18" w:rsidRPr="00923C59" w:rsidRDefault="00863A18" w:rsidP="00B23382">
      <w:pPr>
        <w:pStyle w:val="SubtituloDONI"/>
        <w:spacing w:line="276" w:lineRule="auto"/>
        <w:ind w:left="851"/>
      </w:pPr>
      <w:r>
        <w:t>6.6</w:t>
      </w:r>
      <w:r>
        <w:tab/>
        <w:t>De la supervisión humana</w:t>
      </w:r>
    </w:p>
    <w:p w14:paraId="6541E5CE"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6.6.1</w:t>
      </w:r>
      <w:r>
        <w:rPr>
          <w:rFonts w:ascii="Arial" w:eastAsia="Arial" w:hAnsi="Arial" w:cs="Arial"/>
          <w:color w:val="000000"/>
          <w:highlight w:val="yellow"/>
        </w:rPr>
        <w:tab/>
        <w:t>Todo SBIA cuenta con un mecanismo de supervisión humana proporcional a su nivel de riesgo. En los SBIA de riesgo alto que intervengan en decisiones con impacto significativo, la supervisión humana es obligatoria; su extensión a los demás SBIA de riesgo alto y a los de riesgo aceptable es una decisión institucional. La correspondencia es la siguiente:</w:t>
      </w:r>
    </w:p>
    <w:p w14:paraId="2C1A00D4" w14:textId="77777777" w:rsidR="00863A18" w:rsidRPr="00923C59" w:rsidRDefault="00863A18">
      <w:pPr>
        <w:pStyle w:val="Prrafodelista"/>
        <w:numPr>
          <w:ilvl w:val="0"/>
          <w:numId w:val="3"/>
        </w:numPr>
        <w:spacing w:after="40" w:line="276" w:lineRule="auto"/>
        <w:ind w:left="1701"/>
        <w:rPr>
          <w:b w:val="0"/>
          <w:bCs w:val="0"/>
          <w:color w:val="000000"/>
        </w:rPr>
      </w:pPr>
      <w:r>
        <w:rPr>
          <w:b w:val="0"/>
          <w:bCs w:val="0"/>
          <w:color w:val="000000"/>
        </w:rPr>
        <w:t>Human-in-the-loop (obligatorio para riesgo alto): Un supervisor humano valida cada decisión o resultado del SBIA antes de su ejecución o comunicación al administrado. Aplica a: selección de contribuyentes para fiscalización, determinación de deuda, clasificación arancelaria.</w:t>
      </w:r>
    </w:p>
    <w:p w14:paraId="7C9E9B8E"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Human-on-the-loop (obligatorio para riesgo aceptable-limitado): Un supervisor humano monitorea las operaciones del SBIA y puede intervenir ante anomalías, sin validar cada resultado individual. Aplica a: chatbots de atención, asistentes de orientación, preclasificación.</w:t>
      </w:r>
    </w:p>
    <w:p w14:paraId="6BC28EEB"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21F1C2C9"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r>
      <w:r>
        <w:rPr>
          <w:rFonts w:ascii="Arial" w:eastAsia="Arial" w:hAnsi="Arial" w:cs="Arial"/>
          <w:color w:val="000000"/>
          <w:highlight w:val="yellow"/>
        </w:rPr>
        <w:tab/>
        <w:t>El propietario del caso de uso, con la asistencia técnica de la Comisión de Gobierno de IA, define el mecanismo específico de supervisión humana del SBIA conforme a la clasificación de riesgo aprobada según el numeral 6.2.2. Dicha definición se documenta en la Ficha de Registro del SBIA (Anexo N.° 1) y en la EIA cuando corresponda, y requiere conformidad de la Comisión de Gobierno de IA previo al despliegue.</w:t>
      </w:r>
    </w:p>
    <w:p w14:paraId="52CA64C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r>
      <w:r>
        <w:rPr>
          <w:rFonts w:ascii="Arial" w:eastAsia="Arial" w:hAnsi="Arial" w:cs="Arial"/>
          <w:color w:val="000000"/>
        </w:rPr>
        <w:tab/>
        <w:t>El propietario del caso de uso garantiza que el personal de supervisión cumple con las siguientes condiciones:</w:t>
      </w:r>
    </w:p>
    <w:p w14:paraId="3988CBE8"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t>Cuenta con las competencias técnicas y funcionales necesarias para evaluar los resultados del SBIA en su ámbito de aplicación.</w:t>
      </w:r>
    </w:p>
    <w:p w14:paraId="5003642A"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 xml:space="preserve">Ha recibido capacitación específica sobre el funcionamiento, las limitaciones y los riesgos del SBIA que supervisa, incluyendo la </w:t>
      </w:r>
      <w:r>
        <w:rPr>
          <w:b w:val="0"/>
          <w:bCs w:val="0"/>
          <w:color w:val="000000"/>
          <w:highlight w:val="yellow"/>
        </w:rPr>
        <w:lastRenderedPageBreak/>
        <w:t>identificación y prevención de sesgos algorítmicos, a fin de no sesgarse por los resultados del sistema</w:t>
      </w:r>
      <w:r>
        <w:rPr>
          <w:rStyle w:val="Refdenotaalpie"/>
        </w:rPr>
        <w:footnoteReference w:id="4"/>
      </w:r>
      <w:r>
        <w:rPr>
          <w:b w:val="0"/>
          <w:bCs w:val="0"/>
          <w:color w:val="000000"/>
          <w:highlight w:val="yellow"/>
        </w:rPr>
        <w:t>.</w:t>
      </w:r>
    </w:p>
    <w:p w14:paraId="2D2673C7"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37346EF0" w14:textId="77777777" w:rsidR="00863A18" w:rsidRPr="00923C59"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7190B843" w14:textId="77777777" w:rsidR="00863A18"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r>
      <w:r>
        <w:rPr>
          <w:rFonts w:ascii="Arial" w:eastAsia="Arial" w:hAnsi="Arial" w:cs="Arial"/>
          <w:color w:val="000000"/>
        </w:rPr>
        <w:tab/>
        <w:t xml:space="preserve">Todo SBIA, independientemente de su nivel de riesgo, incorpora medidas proporcionales para prevenir, detectar y corregir resultados discriminatorios o sesgados que puedan afectar a los administrados, conforme al principio de equidad e inclusión de la </w:t>
      </w:r>
      <w:r>
        <w:rPr>
          <w:rFonts w:ascii="Arial" w:hAnsi="Arial" w:cs="Arial"/>
          <w:highlight w:val="yellow"/>
        </w:rPr>
        <w:t>Política de Uso Seguro, Responsable y Ético de los SBIA</w:t>
      </w:r>
      <w:r>
        <w:rPr>
          <w:rFonts w:ascii="Arial" w:eastAsia="Arial" w:hAnsi="Arial" w:cs="Arial"/>
          <w:color w:val="000000"/>
        </w:rPr>
        <w:t>. La Comisión de Gobierno de IA verifica la existencia de estas medidas como parte de la evaluación de viabilidad.</w:t>
      </w:r>
    </w:p>
    <w:p w14:paraId="57F9E2B1" w14:textId="77777777" w:rsidR="00863A18" w:rsidRPr="00923C59" w:rsidRDefault="00863A18" w:rsidP="00B23382">
      <w:pPr>
        <w:pStyle w:val="SubtituloDONI"/>
        <w:spacing w:line="276" w:lineRule="auto"/>
        <w:ind w:left="851"/>
      </w:pPr>
      <w:r>
        <w:t>6.7</w:t>
      </w:r>
      <w:r>
        <w:tab/>
        <w:t>De la seguridad y privacidad en SBIA</w:t>
      </w:r>
    </w:p>
    <w:p w14:paraId="287A7FF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6.7.1</w:t>
      </w:r>
      <w:r>
        <w:rPr>
          <w:rFonts w:ascii="Arial" w:eastAsia="Arial" w:hAnsi="Arial" w:cs="Arial"/>
          <w:color w:val="000000"/>
          <w:highlight w:val="cyan"/>
        </w:rPr>
        <w:tab/>
        <w:t>Los SBIA cumplen la Política de Seguridad de la Información (SGSI-PO-01) y el Manual de Políticas del Sistema de Gestión de Seguridad de la Información (SGSI-MA-03) de la SUNAT, así como los demás documentos normativos y lineamientos de dicho Sistema de Gestión, en sus versiones vigentes</w:t>
      </w:r>
      <w:r>
        <w:rPr>
          <w:rFonts w:ascii="Arial" w:eastAsia="Arial" w:hAnsi="Arial" w:cs="Arial"/>
          <w:color w:val="000000"/>
        </w:rPr>
        <w:t>.</w:t>
      </w:r>
    </w:p>
    <w:p w14:paraId="7E8CBEA9" w14:textId="75904C60"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6.7.2</w:t>
      </w:r>
      <w:r>
        <w:rPr>
          <w:rFonts w:ascii="Arial" w:eastAsia="Arial" w:hAnsi="Arial" w:cs="Arial"/>
          <w:color w:val="000000"/>
          <w:highlight w:val="yellow"/>
        </w:rPr>
        <w:tab/>
        <w:t>Para SBIA de riesgo alto y de riesgo aceptable-limitado se requiere como mínimo: controles de contención (guardrails) de entrada y salida; controles de acceso basados en roles (RBAC); registro inmutable de auditoría (logs) de todas las interacciones; evaluación de vulnerabilidades conforme al OWASP Top 10 para aplicaciones LLM; red teaming previo al despliegue de SBIA de riesgo alto; y anonimización o seudonimización de datos personales antes del procesamiento. Estos controles constituyen medidas de seguridad digital conforme al artículo 29 del RLIA y se implementan aplicando la NTP-ISO/IEC 27002 y la NTP-ISO 31000 vigentes, complementadas con mejores prácticas de seguridad para IA, conforme a la Sexta Disposición Complementaria Final del RLIA.</w:t>
      </w:r>
    </w:p>
    <w:p w14:paraId="787B4A9C"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6.7.3</w:t>
      </w:r>
      <w:r>
        <w:rPr>
          <w:rFonts w:ascii="Arial" w:eastAsia="Arial" w:hAnsi="Arial" w:cs="Arial"/>
          <w:color w:val="000000"/>
        </w:rPr>
        <w:tab/>
        <w:t>Todo SBIA que procese reserva tributaria opera exclusivamente en infraestructura bajo control de la SUNAT.</w:t>
      </w:r>
    </w:p>
    <w:p w14:paraId="2CEA2E32"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r>
      <w:r>
        <w:rPr>
          <w:rFonts w:ascii="Arial" w:eastAsia="Arial" w:hAnsi="Arial" w:cs="Arial"/>
          <w:color w:val="000000"/>
          <w:highlight w:val="yellow"/>
        </w:rPr>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 Los controles reforzados del numeral 6.7.2 aplican adicionalmente a los SBIA de riesgo alto y aceptable-limitado.</w:t>
      </w:r>
    </w:p>
    <w:p w14:paraId="2EFB00D1" w14:textId="77777777"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lastRenderedPageBreak/>
        <w:t>6.7.5</w:t>
      </w:r>
      <w:r>
        <w:rPr>
          <w:rFonts w:ascii="Arial" w:eastAsia="Arial" w:hAnsi="Arial" w:cs="Arial"/>
          <w:color w:val="000000"/>
          <w:highlight w:val="cyan"/>
        </w:rPr>
        <w:tab/>
        <w:t>La gestión de los incidentes y de las vulnerabilidades de seguridad de la información asociados a un SBIA se registra y atiende</w:t>
      </w:r>
      <w:r>
        <w:rPr>
          <w:rStyle w:val="Refdenotaalpie"/>
        </w:rPr>
        <w:footnoteReference w:id="5"/>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El propietario del caso de uso y las gerencias competentes de la INSI comunican los incidentes del uso y funcionamiento del SBIA por los canales que dichos procedimientos establecen; la Comisión de Gobierno de IA los consolida y los reporta en el informe trimestral del numeral 6.9.5.</w:t>
      </w:r>
    </w:p>
    <w:p w14:paraId="6E5B24C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r>
      <w:r>
        <w:rPr>
          <w:rFonts w:ascii="Arial" w:eastAsia="Arial" w:hAnsi="Arial" w:cs="Arial"/>
          <w:color w:val="000000"/>
          <w:highlight w:val="yellow"/>
        </w:rPr>
        <w:tab/>
        <w:t>El Oficial de Datos Personales (ODP) asegura que en el desarrollo, la implementación y el uso de los SBIA se realice un tratamiento adecuado de los datos personales</w:t>
      </w:r>
      <w:r>
        <w:rPr>
          <w:rStyle w:val="Refdenotaalpie"/>
        </w:rPr>
        <w:footnoteReference w:id="6"/>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399F7BE7" w14:textId="77777777" w:rsidR="0084436F" w:rsidRDefault="0084436F" w:rsidP="0084436F">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6.7.7</w:t>
      </w:r>
      <w:r>
        <w:rPr>
          <w:rFonts w:ascii="Arial" w:eastAsia="Arial" w:hAnsi="Arial" w:cs="Arial"/>
          <w:color w:val="000000"/>
          <w:highlight w:val="cyan"/>
        </w:rPr>
        <w:tab/>
        <w:t>La Oficina de Seguridad Informática elabora y propone el documento normativo de seguridad informática para SBIA que desarrolla la forma de implementar y verificar los controles del numeral 6.7.2, conforme al artículo 106, literales a) y b), del ROF. En tanto no se apruebe, los SBIA observan los controles mínimos del referido numeral.</w:t>
      </w:r>
    </w:p>
    <w:p w14:paraId="36612602" w14:textId="77777777" w:rsidR="00931E16" w:rsidRDefault="00931E16" w:rsidP="00931E16">
      <w:pPr>
        <w:pStyle w:val="SubtituloDONI"/>
        <w:spacing w:line="276" w:lineRule="auto"/>
        <w:ind w:left="851"/>
      </w:pPr>
      <w:r>
        <w:rPr>
          <w:highlight w:val="yellow"/>
        </w:rPr>
        <w:t>6.8</w:t>
      </w:r>
      <w:r>
        <w:rPr>
          <w:highlight w:val="yellow"/>
        </w:rPr>
        <w:tab/>
        <w:t>De los datos para los SBIA</w:t>
      </w:r>
    </w:p>
    <w:p w14:paraId="47FBF371"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r>
      <w:r>
        <w:rPr>
          <w:rFonts w:ascii="Arial" w:eastAsia="Arial" w:hAnsi="Arial" w:cs="Arial"/>
          <w:color w:val="000000"/>
          <w:highlight w:val="yellow"/>
        </w:rPr>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7"/>
      </w:r>
      <w:r>
        <w:rPr>
          <w:rFonts w:ascii="Arial" w:eastAsia="Arial" w:hAnsi="Arial" w:cs="Arial"/>
          <w:color w:val="000000"/>
          <w:highlight w:val="yellow"/>
        </w:rPr>
        <w:t>, y en concordancia con la ENGD.</w:t>
      </w:r>
    </w:p>
    <w:p w14:paraId="27B7124A"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r>
      <w:r>
        <w:rPr>
          <w:rFonts w:ascii="Arial" w:eastAsia="Arial" w:hAnsi="Arial" w:cs="Arial"/>
          <w:color w:val="000000"/>
          <w:highlight w:val="yellow"/>
        </w:rPr>
        <w:tab/>
        <w:t>El OGD promueve la calidad y el intercambio de los datos a fin de evitar sesgos y asegurar la precisión y representatividad de los datos utilizados en el entrenamiento, validación y uso de los SBIA</w:t>
      </w:r>
      <w:r>
        <w:rPr>
          <w:rStyle w:val="Refdenotaalpie"/>
        </w:rPr>
        <w:footnoteReference w:id="8"/>
      </w:r>
      <w:r>
        <w:rPr>
          <w:rFonts w:ascii="Arial" w:eastAsia="Arial" w:hAnsi="Arial" w:cs="Arial"/>
          <w:color w:val="000000"/>
          <w:highlight w:val="yellow"/>
        </w:rPr>
        <w:t xml:space="preserve"> y asegura su calidad e integridad</w:t>
      </w:r>
      <w:r>
        <w:rPr>
          <w:rStyle w:val="Refdenotaalpie"/>
        </w:rPr>
        <w:footnoteReference w:id="9"/>
      </w:r>
      <w:r>
        <w:rPr>
          <w:rFonts w:ascii="Arial" w:eastAsia="Arial" w:hAnsi="Arial" w:cs="Arial"/>
          <w:color w:val="000000"/>
          <w:highlight w:val="yellow"/>
        </w:rPr>
        <w:t>. Emite opinión sobre el uso de datos en la Ficha de Evaluación de Caso de Uso (Anexo N.° 4) y en la EIA, cuando corresponda.</w:t>
      </w:r>
    </w:p>
    <w:p w14:paraId="35456B5D" w14:textId="77777777" w:rsidR="00863A18" w:rsidRPr="001609F8" w:rsidRDefault="00931E16" w:rsidP="001609F8">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6.8.3</w:t>
      </w:r>
      <w:r>
        <w:rPr>
          <w:rFonts w:ascii="Arial" w:eastAsia="Arial" w:hAnsi="Arial" w:cs="Arial"/>
          <w:color w:val="000000"/>
          <w:highlight w:val="yellow"/>
        </w:rPr>
        <w:tab/>
        <w:t>El uso de datos protegidos por la reserva tributaria para el desarrollo, entrenamiento o validación de un SBIA requiere la determinación previa de su base legal, conforme al artículo 85 del TUO del Código Tributario. Los datos personales se tratan conforme a la Ley N.° 29733. La procedencia y la base legal de uso se documentan en la Ficha de Registro de SBIA (Anexo N.° 1).</w:t>
      </w:r>
    </w:p>
    <w:p w14:paraId="43349764"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lastRenderedPageBreak/>
        <w:t>6.8.4</w:t>
      </w:r>
      <w:r>
        <w:rPr>
          <w:rFonts w:ascii="Arial" w:eastAsia="Arial" w:hAnsi="Arial" w:cs="Arial"/>
          <w:color w:val="000000"/>
          <w:highlight w:val="yellow"/>
        </w:rPr>
        <w:tab/>
        <w:t>No se utilizan obras protegidas por derechos de autor y derechos conexos como insumo de entrenamiento, ajuste fino o procesamiento en SBIA sin contar con la autorización correspondiente o con la base legal habilitante</w:t>
      </w:r>
      <w:r>
        <w:rPr>
          <w:rStyle w:val="Refdenotaalpie"/>
        </w:rPr>
        <w:footnoteReference w:id="10"/>
      </w:r>
      <w:r>
        <w:rPr>
          <w:rFonts w:ascii="Arial" w:eastAsia="Arial" w:hAnsi="Arial" w:cs="Arial"/>
          <w:color w:val="000000"/>
          <w:highlight w:val="yellow"/>
        </w:rPr>
        <w:t>.</w:t>
      </w:r>
    </w:p>
    <w:p w14:paraId="3EFB2EA4" w14:textId="0D6386AE" w:rsidR="005C3A70" w:rsidRDefault="005C3A70" w:rsidP="005C3A70">
      <w:pPr>
        <w:tabs>
          <w:tab w:val="left" w:pos="1418"/>
        </w:tabs>
        <w:spacing w:after="60" w:line="276" w:lineRule="auto"/>
        <w:ind w:left="1276" w:hanging="709"/>
        <w:jc w:val="both"/>
        <w:rPr>
          <w:rFonts w:ascii="Arial" w:eastAsia="Arial" w:hAnsi="Arial" w:cs="Arial"/>
          <w:color w:val="000000"/>
          <w:highlight w:val="lightGray"/>
        </w:rPr>
      </w:pPr>
      <w:r w:rsidRPr="005C3A70">
        <w:rPr>
          <w:rFonts w:ascii="Arial" w:eastAsia="Arial" w:hAnsi="Arial" w:cs="Arial"/>
          <w:color w:val="000000"/>
          <w:highlight w:val="lightGray"/>
        </w:rPr>
        <w:t>6.8.5   Los conjuntos de datos que la SUNAT genere o administre y que califiquen como datos de alto valor se ponen a disposición a través del Centro Nacional de Datos (CND), previa determinación de su publicabilidad conforme al artículo 85 del TUO del Código Tributario y a la normativa de protección de datos personales. El OGD identifica los conjuntos candidatos y propone al CGTD su publicación.</w:t>
      </w:r>
    </w:p>
    <w:p w14:paraId="6FEA09F8" w14:textId="30858903" w:rsidR="00670027" w:rsidRPr="00670027" w:rsidRDefault="00670027" w:rsidP="005C3A70">
      <w:pPr>
        <w:tabs>
          <w:tab w:val="left" w:pos="1418"/>
        </w:tabs>
        <w:spacing w:after="60" w:line="276" w:lineRule="auto"/>
        <w:ind w:left="1276" w:hanging="709"/>
        <w:jc w:val="both"/>
        <w:rPr>
          <w:rFonts w:ascii="Arial" w:eastAsia="Arial" w:hAnsi="Arial" w:cs="Arial"/>
          <w:color w:val="000000"/>
          <w:highlight w:val="lightGray"/>
        </w:rPr>
      </w:pPr>
      <w:r w:rsidRPr="00670027">
        <w:rPr>
          <w:rFonts w:ascii="Arial" w:eastAsia="Arial" w:hAnsi="Arial" w:cs="Arial"/>
          <w:color w:val="000000"/>
          <w:highlight w:val="lightGray"/>
        </w:rPr>
        <w:t xml:space="preserve">6.8.6 </w:t>
      </w:r>
      <w:r w:rsidRPr="00670027">
        <w:rPr>
          <w:rFonts w:ascii="Arial" w:eastAsia="Arial" w:hAnsi="Arial" w:cs="Arial"/>
          <w:color w:val="000000"/>
          <w:highlight w:val="lightGray"/>
        </w:rPr>
        <w:t xml:space="preserve">  </w:t>
      </w:r>
      <w:r w:rsidRPr="00670027">
        <w:rPr>
          <w:rFonts w:ascii="Arial" w:eastAsia="Arial" w:hAnsi="Arial" w:cs="Arial"/>
          <w:color w:val="000000"/>
          <w:highlight w:val="lightGray"/>
        </w:rPr>
        <w:t xml:space="preserve">Los SBIA se construyen sobre conjuntos de datos certificados conforme a la normativa institucional de gobernanza de datos y </w:t>
      </w:r>
      <w:r w:rsidRPr="00670027">
        <w:rPr>
          <w:rFonts w:ascii="Arial" w:eastAsia="Arial" w:hAnsi="Arial" w:cs="Arial"/>
          <w:color w:val="000000"/>
          <w:highlight w:val="lightGray"/>
        </w:rPr>
        <w:t>analítica</w:t>
      </w:r>
      <w:r w:rsidRPr="00670027">
        <w:rPr>
          <w:rFonts w:ascii="Arial" w:eastAsia="Arial" w:hAnsi="Arial" w:cs="Arial"/>
          <w:color w:val="000000"/>
          <w:highlight w:val="lightGray"/>
        </w:rPr>
        <w:t xml:space="preserve">, cuando estos existan para la materia. El uso de fuentes no certificadas se justifica en la Ficha de </w:t>
      </w:r>
      <w:r w:rsidRPr="00670027">
        <w:rPr>
          <w:rFonts w:ascii="Arial" w:eastAsia="Arial" w:hAnsi="Arial" w:cs="Arial"/>
          <w:color w:val="000000"/>
          <w:highlight w:val="lightGray"/>
        </w:rPr>
        <w:t>Evaluación</w:t>
      </w:r>
      <w:r w:rsidRPr="00670027">
        <w:rPr>
          <w:rFonts w:ascii="Arial" w:eastAsia="Arial" w:hAnsi="Arial" w:cs="Arial"/>
          <w:color w:val="000000"/>
          <w:highlight w:val="lightGray"/>
        </w:rPr>
        <w:t xml:space="preserve"> de Caso de Uso (Anexo </w:t>
      </w:r>
      <w:r w:rsidRPr="00670027">
        <w:rPr>
          <w:rFonts w:ascii="Arial" w:eastAsia="Arial" w:hAnsi="Arial" w:cs="Arial"/>
          <w:color w:val="000000"/>
          <w:highlight w:val="lightGray"/>
        </w:rPr>
        <w:t>N</w:t>
      </w:r>
      <w:r>
        <w:rPr>
          <w:rFonts w:ascii="Arial" w:eastAsia="Arial" w:hAnsi="Arial" w:cs="Arial"/>
          <w:color w:val="000000"/>
          <w:highlight w:val="lightGray"/>
        </w:rPr>
        <w:t>°</w:t>
      </w:r>
      <w:r w:rsidRPr="00670027">
        <w:rPr>
          <w:rFonts w:ascii="Arial" w:eastAsia="Arial" w:hAnsi="Arial" w:cs="Arial"/>
          <w:color w:val="000000"/>
          <w:highlight w:val="lightGray"/>
        </w:rPr>
        <w:t xml:space="preserve"> 4) y consta en la Ficha de Registro de SBIA (Anexo </w:t>
      </w:r>
      <w:r w:rsidRPr="00670027">
        <w:rPr>
          <w:rFonts w:ascii="Arial" w:eastAsia="Arial" w:hAnsi="Arial" w:cs="Arial"/>
          <w:color w:val="000000"/>
          <w:highlight w:val="lightGray"/>
        </w:rPr>
        <w:t>N</w:t>
      </w:r>
      <w:r>
        <w:rPr>
          <w:rFonts w:ascii="Arial" w:eastAsia="Arial" w:hAnsi="Arial" w:cs="Arial"/>
          <w:color w:val="000000"/>
          <w:highlight w:val="lightGray"/>
        </w:rPr>
        <w:t>°</w:t>
      </w:r>
      <w:r w:rsidRPr="00670027">
        <w:rPr>
          <w:rFonts w:ascii="Arial" w:eastAsia="Arial" w:hAnsi="Arial" w:cs="Arial"/>
          <w:color w:val="000000"/>
          <w:highlight w:val="lightGray"/>
        </w:rPr>
        <w:t xml:space="preserve"> 1).</w:t>
      </w:r>
    </w:p>
    <w:p w14:paraId="53A0B18A"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56C7EFA5" w14:textId="77777777" w:rsidR="00863A18" w:rsidRPr="00923C59" w:rsidRDefault="00863A18" w:rsidP="00B23382">
      <w:pPr>
        <w:pStyle w:val="SubtituloDONI"/>
        <w:spacing w:line="276" w:lineRule="auto"/>
        <w:ind w:left="851"/>
      </w:pPr>
      <w:r>
        <w:t>6.9</w:t>
      </w:r>
      <w:r>
        <w:tab/>
        <w:t>De la transparencia, explicabilidad y rendición de cuentas</w:t>
      </w:r>
    </w:p>
    <w:p w14:paraId="4F417817"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6.9.1</w:t>
      </w:r>
      <w:r>
        <w:rPr>
          <w:rFonts w:ascii="Arial" w:eastAsia="Arial" w:hAnsi="Arial" w:cs="Arial"/>
          <w:color w:val="000000"/>
          <w:highlight w:val="yellow"/>
        </w:rPr>
        <w:tab/>
        <w:t>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emplea</w:t>
      </w:r>
      <w:r>
        <w:rPr>
          <w:rStyle w:val="Refdenotaalpie"/>
        </w:rPr>
        <w:footnoteReference w:id="11"/>
      </w:r>
      <w:r>
        <w:rPr>
          <w:rFonts w:ascii="Arial" w:eastAsia="Arial" w:hAnsi="Arial" w:cs="Arial"/>
          <w:color w:val="000000"/>
          <w:highlight w:val="yellow"/>
        </w:rPr>
        <w:t>. La descripción de dichos mecanismos consta en la Ficha de Registro de SBIA (Anexo N.° 1).</w:t>
      </w:r>
    </w:p>
    <w:p w14:paraId="1DA8DA75" w14:textId="77777777"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r>
      <w:r>
        <w:rPr>
          <w:rFonts w:ascii="Arial" w:eastAsia="Arial" w:hAnsi="Arial" w:cs="Arial"/>
          <w:color w:val="000000"/>
          <w:highlight w:val="cyan"/>
        </w:rPr>
        <w:tab/>
        <w:t>Entre los mecanismos del numeral 6.9.1 se incluye el etiquetado visible del SBIA, que informa al usuario con antelación que el producto, servicio o contenido se opera con base en IA y que permite comprender de manera general sus principales capacidades y limitaciones funcionales. Este etiquetado se aplica cuando resulta relevante para la toma de decisión o la interacción con el usuario, y se exceptúa de él a los SBIA que apoyan procesos administrativos internos sin impacto directo en la toma de decisiones que afecten derechos o servicios a las personas. El etiquetado aplicado se registra en la Ficha de Registro de SBIA (Anexo N.° 1).</w:t>
      </w:r>
    </w:p>
    <w:p w14:paraId="71D174A5" w14:textId="77777777" w:rsidR="00836DA1"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6.9.3</w:t>
      </w:r>
      <w:r>
        <w:rPr>
          <w:rFonts w:ascii="Arial" w:hAnsi="Arial" w:cs="Arial"/>
          <w:color w:val="000000"/>
          <w:highlight w:val="cyan"/>
        </w:rPr>
        <w:tab/>
        <w:t>Los SBIA de riesgo alto cuentan con mecanismos de explicabilidad que permitan comprender los factores que influyeron en un resultado. Cuando un SBIA intervenga en decisiones que impacten en los derechos de los administrados, estos tienen derecho a recibir la explicación de los resultados, mediante mecanismos que permitan comprender los criterios y factores clave utilizados, en un lenguaje accesible.</w:t>
      </w:r>
    </w:p>
    <w:p w14:paraId="0B74DC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r>
      <w:r>
        <w:rPr>
          <w:rFonts w:ascii="Arial" w:eastAsia="Arial" w:hAnsi="Arial" w:cs="Arial"/>
          <w:color w:val="000000"/>
          <w:highlight w:val="yellow"/>
        </w:rPr>
        <w:tab/>
        <w:t>El funcionario no debe sustentar la motivación de actos administrativos exclusivamente en resultados de un SBIA. El funcionario debe incorporar su análisis y criterio profesional.</w:t>
      </w:r>
    </w:p>
    <w:p w14:paraId="1D36064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rPr>
        <w:lastRenderedPageBreak/>
        <w:t>6.9.5</w:t>
      </w:r>
      <w:r>
        <w:rPr>
          <w:rFonts w:ascii="Arial" w:eastAsia="Arial" w:hAnsi="Arial" w:cs="Arial"/>
          <w:color w:val="000000"/>
        </w:rPr>
        <w:tab/>
        <w:t>La Comisión de Gobierno de IA presenta al CGTD un informe trimestral con: estado del Inventario, incidentes, resultados de monitoreo, avance de capacitación y cumplimiento de indicadores.</w:t>
      </w:r>
    </w:p>
    <w:p w14:paraId="3C9C3B6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6.9.6</w:t>
      </w:r>
      <w:r>
        <w:rPr>
          <w:rFonts w:ascii="Arial" w:eastAsia="Arial" w:hAnsi="Arial" w:cs="Arial"/>
          <w:color w:val="000000"/>
          <w:highlight w:val="yellow"/>
        </w:rPr>
        <w:tab/>
        <w:t>El CGTD presenta un informe anual a la SN sobre el estado del gobierno de IA institucional, en ejercicio de su responsabilidad de liderar, dirigir, evaluar y supervisar los proyectos de SBIA estratégicos</w:t>
      </w:r>
      <w:r>
        <w:rPr>
          <w:rStyle w:val="Refdenotaalpie"/>
        </w:rPr>
        <w:footnoteReference w:id="12"/>
      </w:r>
      <w:r>
        <w:rPr>
          <w:rFonts w:ascii="Arial" w:eastAsia="Arial" w:hAnsi="Arial" w:cs="Arial"/>
          <w:color w:val="000000"/>
          <w:highlight w:val="yellow"/>
        </w:rPr>
        <w:t>. Dicho informe sirve de insumo para la información que la SUNAT remita a la SGTD.</w:t>
      </w:r>
    </w:p>
    <w:p w14:paraId="50A05F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r>
      <w:r>
        <w:rPr>
          <w:rFonts w:ascii="Arial" w:eastAsia="Arial" w:hAnsi="Arial" w:cs="Arial"/>
          <w:color w:val="000000"/>
          <w:highlight w:val="yellow"/>
        </w:rPr>
        <w:tab/>
        <w:t>Los lineamientos sobre Transparencia Algorítmica que apruebe la SGTD</w:t>
      </w:r>
      <w:r>
        <w:rPr>
          <w:rStyle w:val="Refdenotaalpie"/>
        </w:rPr>
        <w:footnoteReference w:id="13"/>
      </w:r>
      <w:r>
        <w:rPr>
          <w:rFonts w:ascii="Arial" w:eastAsia="Arial" w:hAnsi="Arial" w:cs="Arial"/>
          <w:color w:val="000000"/>
          <w:highlight w:val="yellow"/>
        </w:rPr>
        <w:t xml:space="preserve"> son de aplicación en la SUNAT desde su entrada en vigencia. La Comisión de Gobierno de IA evalúa su impacto en la presente directiva y propone al CGTD los ajustes que correspondan.</w:t>
      </w:r>
    </w:p>
    <w:p w14:paraId="3376AD41" w14:textId="77777777" w:rsidR="00863A18" w:rsidRPr="00923C59" w:rsidRDefault="00863A18" w:rsidP="00B23382">
      <w:pPr>
        <w:pStyle w:val="SubtituloDONI"/>
        <w:spacing w:line="276" w:lineRule="auto"/>
        <w:ind w:left="851"/>
      </w:pPr>
      <w:r>
        <w:t>6.10</w:t>
      </w:r>
      <w:r>
        <w:tab/>
        <w:t>Del monitoreo, auditoría y mejora continua</w:t>
      </w:r>
    </w:p>
    <w:p w14:paraId="6AE15ADF"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6.10.1</w:t>
      </w:r>
      <w:r>
        <w:rPr>
          <w:rFonts w:ascii="Arial" w:eastAsia="Arial" w:hAnsi="Arial" w:cs="Arial"/>
          <w:color w:val="000000"/>
          <w:highlight w:val="yellow"/>
        </w:rPr>
        <w:tab/>
        <w:t>La Comisión de Gobierno de IA define la frecuencia de monitoreo según el nivel de riesgo:</w:t>
      </w:r>
    </w:p>
    <w:p w14:paraId="6268090E"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Riesgo alto: monitoreo continuo automatizado con revisión humana semanal y revisión integral trimestral.</w:t>
      </w:r>
    </w:p>
    <w:p w14:paraId="4C305B97"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Riesgo aceptable-limitado: revisión mensual de indicadores y revisión integral semestral.</w:t>
      </w:r>
    </w:p>
    <w:p w14:paraId="76369335"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Riesgo aceptable-mínimo: revisión trimestral de indicadores y revisión integral anual.</w:t>
      </w:r>
    </w:p>
    <w:p w14:paraId="26BA52EA" w14:textId="77777777" w:rsidR="00467C46" w:rsidRPr="00923C59" w:rsidRDefault="00467C46" w:rsidP="00B23382">
      <w:pPr>
        <w:spacing w:after="0" w:line="276" w:lineRule="auto"/>
        <w:ind w:left="1276" w:hanging="720"/>
        <w:jc w:val="both"/>
        <w:rPr>
          <w:rFonts w:ascii="Arial" w:hAnsi="Arial" w:cs="Arial"/>
        </w:rPr>
      </w:pPr>
      <w:r>
        <w:rPr>
          <w:rFonts w:ascii="Arial" w:eastAsia="Arial" w:hAnsi="Arial" w:cs="Arial"/>
          <w:color w:val="000000"/>
        </w:rPr>
        <w:t>6.10.2</w:t>
      </w:r>
      <w:r>
        <w:rPr>
          <w:rFonts w:ascii="Arial" w:eastAsia="Arial" w:hAnsi="Arial" w:cs="Arial"/>
          <w:color w:val="000000"/>
        </w:rPr>
        <w:tab/>
        <w:t>La Comisión de Gobierno de IA define, para cada SBIA registrado en el Inventario, los indicadores de monitoreo que como mínimo incluyen: tasa de precisión, tasa de error, tiempo de respuesta, disponibilidad, detección de drift, indicadores de sesgo y tasa de intervención humana. El propietario del caso de uso, con apoyo del equipo técnico de la INSI, mide y reporta estos indicadores conforme a la frecuencia establecida en el numeral 6.10.1. La Comisión de Gobierno de IA consolida los resultados y los presenta al CGTD para su evaluación.</w:t>
      </w:r>
    </w:p>
    <w:p w14:paraId="550B9BD2" w14:textId="77777777"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t>6.10.3</w:t>
      </w:r>
      <w:r>
        <w:rPr>
          <w:rFonts w:ascii="Arial" w:eastAsia="Arial" w:hAnsi="Arial" w:cs="Arial"/>
          <w:color w:val="000000"/>
          <w:highlight w:val="yellow"/>
        </w:rPr>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y de regresión que correspondan al tipo de SBIA.</w:t>
      </w:r>
    </w:p>
    <w:p w14:paraId="0B9298C6" w14:textId="2FA1D904" w:rsidR="0018147B" w:rsidRDefault="00000000" w:rsidP="00AE1F2D">
      <w:pPr>
        <w:spacing w:after="0" w:line="276" w:lineRule="auto"/>
        <w:ind w:left="1276"/>
        <w:jc w:val="both"/>
        <w:rPr>
          <w:rFonts w:ascii="Arial" w:eastAsia="Arial" w:hAnsi="Arial" w:cs="Arial"/>
          <w:color w:val="000000"/>
        </w:rPr>
      </w:pPr>
      <w:r>
        <w:rPr>
          <w:rFonts w:ascii="Arial" w:eastAsia="Arial" w:hAnsi="Arial" w:cs="Arial"/>
          <w:color w:val="000000"/>
          <w:highlight w:val="yellow"/>
        </w:rPr>
        <w:t xml:space="preserve">El análisis de riesgo y las pruebas de vulnerabilidad sobre cada SBIA corresponden a la Oficina de Seguridad Informática, conforme a la etapa de certificación y validación del numeral 6.1.1. Con la concurrencia de ambas actividades y del monitoreo previsto en el numeral 6.10, la SUNAT satisface la obligación de auditorías de seguridad digital del literal c) del artículo 29 del </w:t>
      </w:r>
      <w:r>
        <w:rPr>
          <w:rFonts w:ascii="Arial" w:eastAsia="Arial" w:hAnsi="Arial" w:cs="Arial"/>
          <w:color w:val="000000"/>
          <w:highlight w:val="yellow"/>
        </w:rPr>
        <w:lastRenderedPageBreak/>
        <w:t>RLIA.</w:t>
      </w:r>
      <w:r w:rsidR="00532CB5">
        <w:rPr>
          <w:rFonts w:ascii="Arial" w:eastAsia="Arial" w:hAnsi="Arial" w:cs="Arial"/>
          <w:color w:val="000000"/>
          <w:highlight w:val="yellow"/>
        </w:rPr>
        <w:t xml:space="preserve"> </w:t>
      </w:r>
      <w:r>
        <w:rPr>
          <w:rFonts w:ascii="Arial" w:eastAsia="Arial" w:hAnsi="Arial" w:cs="Arial"/>
          <w:color w:val="000000"/>
          <w:highlight w:val="yellow"/>
        </w:rPr>
        <w:t>Los resultados de las auditorías alimentan el informe trimestral de la Comisión de Gobierno de IA al CGTD.</w:t>
      </w:r>
    </w:p>
    <w:p w14:paraId="38DF30B6" w14:textId="77777777" w:rsidR="00532CB5" w:rsidRDefault="00532CB5" w:rsidP="00AE1F2D">
      <w:pPr>
        <w:spacing w:after="0" w:line="276" w:lineRule="auto"/>
        <w:ind w:left="1276"/>
        <w:jc w:val="both"/>
        <w:rPr>
          <w:rFonts w:ascii="Arial" w:eastAsia="Arial" w:hAnsi="Arial" w:cs="Arial"/>
          <w:color w:val="000000"/>
        </w:rPr>
      </w:pPr>
    </w:p>
    <w:p w14:paraId="2A1A068A" w14:textId="0FE84EA5" w:rsidR="00532CB5" w:rsidRPr="00532CB5" w:rsidRDefault="00532CB5" w:rsidP="00532CB5">
      <w:pPr>
        <w:spacing w:after="0" w:line="276" w:lineRule="auto"/>
        <w:ind w:left="1276" w:hanging="709"/>
        <w:jc w:val="both"/>
        <w:rPr>
          <w:rFonts w:ascii="Arial" w:hAnsi="Arial" w:cs="Arial"/>
          <w:highlight w:val="lightGray"/>
        </w:rPr>
      </w:pPr>
      <w:r w:rsidRPr="00532CB5">
        <w:rPr>
          <w:rFonts w:ascii="Arial" w:hAnsi="Arial" w:cs="Arial"/>
          <w:highlight w:val="lightGray"/>
        </w:rPr>
        <w:t xml:space="preserve">6.10.4 Todo cambio sobre un SBIA en </w:t>
      </w:r>
      <w:r w:rsidRPr="00532CB5">
        <w:rPr>
          <w:rFonts w:ascii="Arial" w:hAnsi="Arial" w:cs="Arial"/>
          <w:highlight w:val="lightGray"/>
        </w:rPr>
        <w:t>operación</w:t>
      </w:r>
      <w:r w:rsidRPr="00532CB5">
        <w:rPr>
          <w:rFonts w:ascii="Arial" w:hAnsi="Arial" w:cs="Arial"/>
          <w:highlight w:val="lightGray"/>
        </w:rPr>
        <w:t xml:space="preserve"> se gestiona de manera controlada y proporcional a su nivel de riesgo. Constituyen cambio, entre otros, el reentrenamiento o la </w:t>
      </w:r>
      <w:r w:rsidRPr="00532CB5">
        <w:rPr>
          <w:rFonts w:ascii="Arial" w:hAnsi="Arial" w:cs="Arial"/>
          <w:highlight w:val="lightGray"/>
        </w:rPr>
        <w:t>recalibración</w:t>
      </w:r>
      <w:r w:rsidRPr="00532CB5">
        <w:rPr>
          <w:rFonts w:ascii="Arial" w:hAnsi="Arial" w:cs="Arial"/>
          <w:highlight w:val="lightGray"/>
        </w:rPr>
        <w:t xml:space="preserve"> del modelo, su </w:t>
      </w:r>
      <w:r w:rsidRPr="00532CB5">
        <w:rPr>
          <w:rFonts w:ascii="Arial" w:hAnsi="Arial" w:cs="Arial"/>
          <w:highlight w:val="lightGray"/>
        </w:rPr>
        <w:t>sustitución</w:t>
      </w:r>
      <w:r w:rsidRPr="00532CB5">
        <w:rPr>
          <w:rFonts w:ascii="Arial" w:hAnsi="Arial" w:cs="Arial"/>
          <w:highlight w:val="lightGray"/>
        </w:rPr>
        <w:t xml:space="preserve"> o el cambio de </w:t>
      </w:r>
      <w:r w:rsidRPr="00532CB5">
        <w:rPr>
          <w:rFonts w:ascii="Arial" w:hAnsi="Arial" w:cs="Arial"/>
          <w:highlight w:val="lightGray"/>
        </w:rPr>
        <w:t>versión</w:t>
      </w:r>
      <w:r w:rsidRPr="00532CB5">
        <w:rPr>
          <w:rFonts w:ascii="Arial" w:hAnsi="Arial" w:cs="Arial"/>
          <w:highlight w:val="lightGray"/>
        </w:rPr>
        <w:t xml:space="preserve"> del modelo base, la </w:t>
      </w:r>
      <w:r w:rsidRPr="00532CB5">
        <w:rPr>
          <w:rFonts w:ascii="Arial" w:hAnsi="Arial" w:cs="Arial"/>
          <w:highlight w:val="lightGray"/>
        </w:rPr>
        <w:t>modificación</w:t>
      </w:r>
      <w:r w:rsidRPr="00532CB5">
        <w:rPr>
          <w:rFonts w:ascii="Arial" w:hAnsi="Arial" w:cs="Arial"/>
          <w:highlight w:val="lightGray"/>
        </w:rPr>
        <w:t xml:space="preserve"> de las fuentes o de la estructura de los datos de entrada, la </w:t>
      </w:r>
      <w:r w:rsidRPr="00532CB5">
        <w:rPr>
          <w:rFonts w:ascii="Arial" w:hAnsi="Arial" w:cs="Arial"/>
          <w:highlight w:val="lightGray"/>
        </w:rPr>
        <w:t>ampliación</w:t>
      </w:r>
      <w:r w:rsidRPr="00532CB5">
        <w:rPr>
          <w:rFonts w:ascii="Arial" w:hAnsi="Arial" w:cs="Arial"/>
          <w:highlight w:val="lightGray"/>
        </w:rPr>
        <w:t xml:space="preserve"> de la finalidad o de la </w:t>
      </w:r>
      <w:r w:rsidRPr="00532CB5">
        <w:rPr>
          <w:rFonts w:ascii="Arial" w:hAnsi="Arial" w:cs="Arial"/>
          <w:highlight w:val="lightGray"/>
        </w:rPr>
        <w:t>población</w:t>
      </w:r>
      <w:r w:rsidRPr="00532CB5">
        <w:rPr>
          <w:rFonts w:ascii="Arial" w:hAnsi="Arial" w:cs="Arial"/>
          <w:highlight w:val="lightGray"/>
        </w:rPr>
        <w:t xml:space="preserve"> objetivo del SBIA, y el cambio de proveedor. El propietario del caso de uso registra todo cambio en el Inventario Institucional de SBIA y lo comunica a la </w:t>
      </w:r>
      <w:r w:rsidRPr="00532CB5">
        <w:rPr>
          <w:rFonts w:ascii="Arial" w:hAnsi="Arial" w:cs="Arial"/>
          <w:highlight w:val="lightGray"/>
        </w:rPr>
        <w:t>Comisión</w:t>
      </w:r>
      <w:r w:rsidRPr="00532CB5">
        <w:rPr>
          <w:rFonts w:ascii="Arial" w:hAnsi="Arial" w:cs="Arial"/>
          <w:highlight w:val="lightGray"/>
        </w:rPr>
        <w:t xml:space="preserve"> de Gobierno de IA.</w:t>
      </w:r>
    </w:p>
    <w:p w14:paraId="0FD1A58F" w14:textId="544CCF8B" w:rsidR="00532CB5" w:rsidRDefault="00532CB5" w:rsidP="00532CB5">
      <w:pPr>
        <w:spacing w:after="0" w:line="276" w:lineRule="auto"/>
        <w:ind w:left="1276" w:hanging="709"/>
        <w:jc w:val="both"/>
        <w:rPr>
          <w:rFonts w:ascii="Arial" w:hAnsi="Arial" w:cs="Arial"/>
        </w:rPr>
      </w:pPr>
      <w:r w:rsidRPr="00532CB5">
        <w:rPr>
          <w:rFonts w:ascii="Arial" w:hAnsi="Arial" w:cs="Arial"/>
          <w:highlight w:val="lightGray"/>
        </w:rPr>
        <w:t xml:space="preserve">6.10.5 Es significativo el cambio que altera el </w:t>
      </w:r>
      <w:r w:rsidRPr="00532CB5">
        <w:rPr>
          <w:rFonts w:ascii="Arial" w:hAnsi="Arial" w:cs="Arial"/>
          <w:highlight w:val="lightGray"/>
        </w:rPr>
        <w:t>desempeño</w:t>
      </w:r>
      <w:r w:rsidRPr="00532CB5">
        <w:rPr>
          <w:rFonts w:ascii="Arial" w:hAnsi="Arial" w:cs="Arial"/>
          <w:highlight w:val="lightGray"/>
        </w:rPr>
        <w:t xml:space="preserve">, la finalidad o la </w:t>
      </w:r>
      <w:r w:rsidRPr="00532CB5">
        <w:rPr>
          <w:rFonts w:ascii="Arial" w:hAnsi="Arial" w:cs="Arial"/>
          <w:highlight w:val="lightGray"/>
        </w:rPr>
        <w:t>población</w:t>
      </w:r>
      <w:r w:rsidRPr="00532CB5">
        <w:rPr>
          <w:rFonts w:ascii="Arial" w:hAnsi="Arial" w:cs="Arial"/>
          <w:highlight w:val="lightGray"/>
        </w:rPr>
        <w:t xml:space="preserve"> objetivo del SBIA. El cambio significativo requiere, con anterioridad a su puesta en </w:t>
      </w:r>
      <w:r w:rsidRPr="00532CB5">
        <w:rPr>
          <w:rFonts w:ascii="Arial" w:hAnsi="Arial" w:cs="Arial"/>
          <w:highlight w:val="lightGray"/>
        </w:rPr>
        <w:t>producción</w:t>
      </w:r>
      <w:r w:rsidRPr="00532CB5">
        <w:rPr>
          <w:rFonts w:ascii="Arial" w:hAnsi="Arial" w:cs="Arial"/>
          <w:highlight w:val="lightGray"/>
        </w:rPr>
        <w:t xml:space="preserve">: la </w:t>
      </w:r>
      <w:r w:rsidRPr="00532CB5">
        <w:rPr>
          <w:rFonts w:ascii="Arial" w:hAnsi="Arial" w:cs="Arial"/>
          <w:highlight w:val="lightGray"/>
        </w:rPr>
        <w:t>revisión</w:t>
      </w:r>
      <w:r w:rsidRPr="00532CB5">
        <w:rPr>
          <w:rFonts w:ascii="Arial" w:hAnsi="Arial" w:cs="Arial"/>
          <w:highlight w:val="lightGray"/>
        </w:rPr>
        <w:t xml:space="preserve"> de la </w:t>
      </w:r>
      <w:r w:rsidRPr="00532CB5">
        <w:rPr>
          <w:rFonts w:ascii="Arial" w:hAnsi="Arial" w:cs="Arial"/>
          <w:highlight w:val="lightGray"/>
        </w:rPr>
        <w:t>clasificación</w:t>
      </w:r>
      <w:r w:rsidRPr="00532CB5">
        <w:rPr>
          <w:rFonts w:ascii="Arial" w:hAnsi="Arial" w:cs="Arial"/>
          <w:highlight w:val="lightGray"/>
        </w:rPr>
        <w:t xml:space="preserve"> de riesgo conforme al numeral 6.2.2; la </w:t>
      </w:r>
      <w:r w:rsidRPr="00532CB5">
        <w:rPr>
          <w:rFonts w:ascii="Arial" w:hAnsi="Arial" w:cs="Arial"/>
          <w:highlight w:val="lightGray"/>
        </w:rPr>
        <w:t>actualización</w:t>
      </w:r>
      <w:r w:rsidRPr="00532CB5">
        <w:rPr>
          <w:rFonts w:ascii="Arial" w:hAnsi="Arial" w:cs="Arial"/>
          <w:highlight w:val="lightGray"/>
        </w:rPr>
        <w:t xml:space="preserve"> de la EIA conforme al numeral 6.4.3, cuando corresponda; la </w:t>
      </w:r>
      <w:r w:rsidRPr="00532CB5">
        <w:rPr>
          <w:rFonts w:ascii="Arial" w:hAnsi="Arial" w:cs="Arial"/>
          <w:highlight w:val="lightGray"/>
        </w:rPr>
        <w:t>verificación</w:t>
      </w:r>
      <w:r w:rsidRPr="00532CB5">
        <w:rPr>
          <w:rFonts w:ascii="Arial" w:hAnsi="Arial" w:cs="Arial"/>
          <w:highlight w:val="lightGray"/>
        </w:rPr>
        <w:t xml:space="preserve"> y </w:t>
      </w:r>
      <w:r w:rsidRPr="00532CB5">
        <w:rPr>
          <w:rFonts w:ascii="Arial" w:hAnsi="Arial" w:cs="Arial"/>
          <w:highlight w:val="lightGray"/>
        </w:rPr>
        <w:t>validación</w:t>
      </w:r>
      <w:r w:rsidRPr="00532CB5">
        <w:rPr>
          <w:rFonts w:ascii="Arial" w:hAnsi="Arial" w:cs="Arial"/>
          <w:highlight w:val="lightGray"/>
        </w:rPr>
        <w:t xml:space="preserve"> conforme al numeral 6.10.3; y la </w:t>
      </w:r>
      <w:r w:rsidRPr="00532CB5">
        <w:rPr>
          <w:rFonts w:ascii="Arial" w:hAnsi="Arial" w:cs="Arial"/>
          <w:highlight w:val="lightGray"/>
        </w:rPr>
        <w:t>aprobación</w:t>
      </w:r>
      <w:r w:rsidRPr="00532CB5">
        <w:rPr>
          <w:rFonts w:ascii="Arial" w:hAnsi="Arial" w:cs="Arial"/>
          <w:highlight w:val="lightGray"/>
        </w:rPr>
        <w:t xml:space="preserve"> prevista en el numeral 6.1.2. El despliegue del cambio se realiza con </w:t>
      </w:r>
      <w:r w:rsidRPr="00532CB5">
        <w:rPr>
          <w:rFonts w:ascii="Arial" w:hAnsi="Arial" w:cs="Arial"/>
          <w:highlight w:val="lightGray"/>
        </w:rPr>
        <w:t>versión</w:t>
      </w:r>
      <w:r w:rsidRPr="00532CB5">
        <w:rPr>
          <w:rFonts w:ascii="Arial" w:hAnsi="Arial" w:cs="Arial"/>
          <w:highlight w:val="lightGray"/>
        </w:rPr>
        <w:t xml:space="preserve"> identificable y con un plan de </w:t>
      </w:r>
      <w:r w:rsidRPr="00532CB5">
        <w:rPr>
          <w:rFonts w:ascii="Arial" w:hAnsi="Arial" w:cs="Arial"/>
          <w:highlight w:val="lightGray"/>
        </w:rPr>
        <w:t>reversión</w:t>
      </w:r>
      <w:r w:rsidRPr="00532CB5">
        <w:rPr>
          <w:rFonts w:ascii="Arial" w:hAnsi="Arial" w:cs="Arial"/>
          <w:highlight w:val="lightGray"/>
        </w:rPr>
        <w:t xml:space="preserve"> que permita restituir la </w:t>
      </w:r>
      <w:r w:rsidRPr="00532CB5">
        <w:rPr>
          <w:rFonts w:ascii="Arial" w:hAnsi="Arial" w:cs="Arial"/>
          <w:highlight w:val="lightGray"/>
        </w:rPr>
        <w:t>versión</w:t>
      </w:r>
      <w:r w:rsidRPr="00532CB5">
        <w:rPr>
          <w:rFonts w:ascii="Arial" w:hAnsi="Arial" w:cs="Arial"/>
          <w:highlight w:val="lightGray"/>
        </w:rPr>
        <w:t xml:space="preserve"> anterior del SBIA. La </w:t>
      </w:r>
      <w:r w:rsidRPr="00532CB5">
        <w:rPr>
          <w:rFonts w:ascii="Arial" w:hAnsi="Arial" w:cs="Arial"/>
          <w:highlight w:val="lightGray"/>
        </w:rPr>
        <w:t>operación</w:t>
      </w:r>
      <w:r w:rsidRPr="00532CB5">
        <w:rPr>
          <w:rFonts w:ascii="Arial" w:hAnsi="Arial" w:cs="Arial"/>
          <w:highlight w:val="lightGray"/>
        </w:rPr>
        <w:t xml:space="preserve"> posterior al cambio es objeto de seguimiento reforzado durante el periodo que corresponda a su nivel de riesgo, conforme a la </w:t>
      </w:r>
      <w:r w:rsidRPr="00532CB5">
        <w:rPr>
          <w:rFonts w:ascii="Arial" w:hAnsi="Arial" w:cs="Arial"/>
          <w:highlight w:val="lightGray"/>
        </w:rPr>
        <w:t>metodología</w:t>
      </w:r>
      <w:r w:rsidRPr="00532CB5">
        <w:rPr>
          <w:rFonts w:ascii="Arial" w:hAnsi="Arial" w:cs="Arial"/>
          <w:highlight w:val="lightGray"/>
        </w:rPr>
        <w:t xml:space="preserve"> prevista en el numeral 6.1.5.</w:t>
      </w:r>
    </w:p>
    <w:p w14:paraId="11FBA81E" w14:textId="3B7FE931"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w:t>
      </w:r>
      <w:r w:rsidR="005F24C2">
        <w:rPr>
          <w:rFonts w:ascii="Arial" w:hAnsi="Arial" w:cs="Arial"/>
          <w:b/>
          <w:bCs/>
          <w:color w:val="1B3A5B"/>
          <w:sz w:val="24"/>
          <w:szCs w:val="24"/>
          <w:highlight w:val="cyan"/>
        </w:rPr>
        <w:t xml:space="preserve"> y ético, de </w:t>
      </w:r>
      <w:r w:rsidR="005F24C2" w:rsidRPr="005F24C2">
        <w:rPr>
          <w:rFonts w:ascii="Arial" w:hAnsi="Arial" w:cs="Arial"/>
          <w:b/>
          <w:bCs/>
          <w:color w:val="1B3A5B"/>
          <w:sz w:val="24"/>
          <w:szCs w:val="24"/>
          <w:highlight w:val="cyan"/>
        </w:rPr>
        <w:t>las</w:t>
      </w:r>
      <w:r w:rsidRPr="005F24C2">
        <w:rPr>
          <w:rFonts w:ascii="Arial" w:hAnsi="Arial" w:cs="Arial"/>
          <w:b/>
          <w:bCs/>
          <w:color w:val="1B3A5B"/>
          <w:sz w:val="24"/>
          <w:szCs w:val="24"/>
          <w:highlight w:val="cyan"/>
        </w:rPr>
        <w:t xml:space="preserve"> </w:t>
      </w:r>
      <w:r w:rsidR="005F24C2" w:rsidRPr="005F24C2">
        <w:rPr>
          <w:rFonts w:ascii="Arial" w:hAnsi="Arial" w:cs="Arial"/>
          <w:b/>
          <w:bCs/>
          <w:color w:val="1B3A5B"/>
          <w:sz w:val="24"/>
          <w:szCs w:val="24"/>
          <w:highlight w:val="cyan"/>
        </w:rPr>
        <w:t>capacidades y proveedores</w:t>
      </w:r>
    </w:p>
    <w:p w14:paraId="7E6D459C" w14:textId="77777777" w:rsidR="00863A18" w:rsidRPr="00923C59" w:rsidRDefault="00863A18" w:rsidP="00B23382">
      <w:pPr>
        <w:pStyle w:val="SubtituloDONI"/>
        <w:spacing w:line="276" w:lineRule="auto"/>
        <w:ind w:left="851"/>
      </w:pPr>
      <w:r>
        <w:t>6.11</w:t>
      </w:r>
      <w:r>
        <w:tab/>
        <w:t>Del uso responsable de herramientas de IA</w:t>
      </w:r>
    </w:p>
    <w:p w14:paraId="4114732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r>
      <w:r>
        <w:rPr>
          <w:rFonts w:ascii="Arial" w:eastAsia="Arial" w:hAnsi="Arial" w:cs="Arial"/>
          <w:color w:val="000000"/>
        </w:rPr>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48924DD9" w14:textId="77777777" w:rsidR="0018147B" w:rsidRPr="00F9075F" w:rsidRDefault="00000000">
      <w:pPr>
        <w:pStyle w:val="Prrafodelista"/>
        <w:numPr>
          <w:ilvl w:val="0"/>
          <w:numId w:val="5"/>
        </w:numPr>
        <w:spacing w:before="0" w:after="40" w:line="276" w:lineRule="auto"/>
        <w:ind w:left="1701"/>
        <w:rPr>
          <w:b w:val="0"/>
          <w:bCs w:val="0"/>
        </w:rPr>
      </w:pPr>
      <w:r>
        <w:rPr>
          <w:b w:val="0"/>
          <w:bCs w:val="0"/>
          <w:color w:val="000000"/>
          <w:highlight w:val="cyan"/>
        </w:rPr>
        <w:t>No ingresar información sujeta a reserva tributaria ni datos personales de contribuyentes u operadores aduaneros en herramientas de IA que no estén autorizadas para ese tratamiento en el catálogo institucional. El catálogo indica, para cada herramienta, los tipos de información que puede procesar. El tratamiento de información sujeta a reserva tributaria se rige por el numeral 6.7.3.</w:t>
      </w:r>
    </w:p>
    <w:p w14:paraId="2FC15DE4" w14:textId="77777777"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283BC86D"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1884B3D9"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F452CA"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7918E9BE"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6.11.2</w:t>
      </w:r>
      <w:r>
        <w:rPr>
          <w:rFonts w:ascii="Arial" w:eastAsia="Arial" w:hAnsi="Arial" w:cs="Arial"/>
          <w:color w:val="000000"/>
          <w:highlight w:val="yellow"/>
        </w:rPr>
        <w:tab/>
        <w:t xml:space="preserve">El catálogo de herramientas de IA autorizadas para uso institucional registra las herramientas aprobadas conforme al numeral 6.11.5. El catálogo precisa, para cada herramienta, el ámbito de uso autorizado (uso administrativo general o uso restringido) y si su empleo con información sujeta a reserva tributaria está </w:t>
      </w:r>
      <w:r>
        <w:rPr>
          <w:rFonts w:ascii="Arial" w:eastAsia="Arial" w:hAnsi="Arial" w:cs="Arial"/>
          <w:color w:val="000000"/>
          <w:highlight w:val="yellow"/>
        </w:rPr>
        <w:lastRenderedPageBreak/>
        <w:t>permitido, en concordancia con los numerales 6.11.1 y 6.7.3. La INSI lo publica y lo mantiene actualizado.</w:t>
      </w:r>
    </w:p>
    <w:p w14:paraId="4BCC2079" w14:textId="77777777"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6.11.3</w:t>
      </w:r>
      <w:r>
        <w:rPr>
          <w:rFonts w:ascii="Arial" w:eastAsia="Arial" w:hAnsi="Arial" w:cs="Arial"/>
          <w:color w:val="000000"/>
        </w:rPr>
        <w:tab/>
        <w:t>La INSI aprueba y mantiene los lineamientos técnicos que regulan el uso de LLM open source en su infraestructura. Las unidades de organización los cumplen como condición para el despliegue de estos modelos.</w:t>
      </w:r>
      <w:r>
        <w:rPr>
          <w:rFonts w:ascii="Arial" w:eastAsia="Arial" w:hAnsi="Arial" w:cs="Arial"/>
          <w:color w:val="000000"/>
          <w:highlight w:val="cyan"/>
        </w:rPr>
        <w:t xml:space="preserve"> El despliegue de estos modelos observa, en lo que corresponda, el Procedimiento para el Registro, Control y Retiro de Software de la SUNAT (A-03.3.2-PR-01).</w:t>
      </w:r>
    </w:p>
    <w:p w14:paraId="7106A4EF"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6.11.4</w:t>
      </w:r>
      <w:r>
        <w:rPr>
          <w:rFonts w:ascii="Arial" w:eastAsia="Arial" w:hAnsi="Arial" w:cs="Arial"/>
          <w:color w:val="000000"/>
          <w:highlight w:val="yellow"/>
        </w:rPr>
        <w:tab/>
        <w:t>Ninguna unidad organizacional desarrolla, adquiere, contrata, implementa u opera SBIA fuera del límite de la presente directiva, independientemente de su complejidad, presupuesto o ámbito geográfico. En particular: (a) toda iniciativa de SBIA como proyecto requiere aprobación conforme al ciclo de vida del numeral 6.1 y registro en el Inventario Institucional; (b) toda contratación de servicios de IA como herramienta (suscripciones, APIs, plataformas SaaS) requiere autorización previa de la INSI e inclusión en el catálogo institucional (numeral 6.11.2). Los colaboradores utilizan exclusivamente las herramientas de IA que figuran en dicho catálogo. La Comisión de Gobierno de IA promueve la regularización mediante el registro y el acompañamiento proporcional a la unidad involucrada. Los incumplimientos reiterados o que impliquen uso indebido se comunican al CGTD y, según corresponda, a la OII.</w:t>
      </w:r>
    </w:p>
    <w:p w14:paraId="26F26301" w14:textId="77777777" w:rsidR="000153F0"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6.11.5</w:t>
      </w:r>
      <w:r>
        <w:rPr>
          <w:rFonts w:ascii="Arial" w:hAnsi="Arial" w:cs="Arial"/>
          <w:color w:val="000000"/>
          <w:highlight w:val="cyan"/>
        </w:rPr>
        <w:tab/>
        <w:t>La GA aprueba las herramientas de IA que pueden emplearse en la SUNAT, conforme a sus funciones (artículo 130, literal c, del ROF), y las registra en el catálogo institucional de herramientas de IA. La Gerencia de Operaciones y Soporte a Usuarios asegura que los equipos informáticos tengan instalado únicamente software autorizado. El catálogo institucional de herramientas de IA constituye el subconjunto de inteligencia artificial del inventario de software autorizado; ambos se distinguen del Inventario de SBIA (Anexo N.° 1), que registra los sistemas basados en IA y no las herramientas.</w:t>
      </w:r>
      <w:r>
        <w:rPr>
          <w:rFonts w:ascii="Arial" w:eastAsia="Arial" w:hAnsi="Arial" w:cs="Arial"/>
          <w:color w:val="000000"/>
          <w:highlight w:val="cyan"/>
        </w:rPr>
        <w:t xml:space="preserve"> El registro, el control y el retiro de las herramientas de IA como software se rigen por el Procedimiento para el Registro, Control y Retiro de Software de la SUNAT (A-03.3.2-PR-01).</w:t>
      </w:r>
    </w:p>
    <w:p w14:paraId="3BCCF2B5" w14:textId="77777777" w:rsidR="00863A18" w:rsidRPr="00923C59" w:rsidRDefault="00863A18" w:rsidP="00B23382">
      <w:pPr>
        <w:pStyle w:val="SubtituloDONI"/>
        <w:spacing w:line="276" w:lineRule="auto"/>
        <w:ind w:left="851"/>
      </w:pPr>
      <w:r>
        <w:t>6.12</w:t>
      </w:r>
      <w:r>
        <w:tab/>
        <w:t>De la gestión de proveedores de IA</w:t>
      </w:r>
    </w:p>
    <w:p w14:paraId="4087DF53"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6.12.1</w:t>
      </w:r>
      <w:r>
        <w:rPr>
          <w:rFonts w:ascii="Arial" w:eastAsia="Arial" w:hAnsi="Arial" w:cs="Arial"/>
          <w:color w:val="000000"/>
        </w:rPr>
        <w:tab/>
        <w:t>La adquisición de SBIA incluye en los TDR o EETT los requisitos de cumplimiento de la presente directiva y normativa aplicable.</w:t>
      </w:r>
    </w:p>
    <w:p w14:paraId="378F374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6.12.2</w:t>
      </w:r>
      <w:r>
        <w:rPr>
          <w:rFonts w:ascii="Arial" w:eastAsia="Arial" w:hAnsi="Arial" w:cs="Arial"/>
          <w:color w:val="000000"/>
          <w:highlight w:val="yellow"/>
        </w:rPr>
        <w:tab/>
        <w:t>Los contratos incluyen cláusulas sobre: (a) protección de datos y reserva tributaria; (b) transparencia del modelo; (c) comunicación de vulnerabilidades e incidentes; (d) derecho de auditoría, incluida la realización de auditorías éticas y de sesgo sobre el modelo; (e) transferencia de conocimiento; (f) cumplimiento de estándares técnicos. El plazo de notificación de vulnerabilidades se define en los TDR o EETT de cada contratación, según la criticidad del SBIA.</w:t>
      </w:r>
    </w:p>
    <w:p w14:paraId="0C47E374"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6.12.3</w:t>
      </w:r>
      <w:r>
        <w:rPr>
          <w:rFonts w:ascii="Arial" w:eastAsia="Arial" w:hAnsi="Arial" w:cs="Arial"/>
          <w:color w:val="000000"/>
        </w:rPr>
        <w:tab/>
        <w:t>Para SBIA SaaS, la INSI verifica la compatibilidad de los términos de uso con las obligaciones de SUNAT en materia de datos y reserva tributaria.</w:t>
      </w:r>
    </w:p>
    <w:p w14:paraId="3CED920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6.12.4</w:t>
      </w:r>
      <w:r>
        <w:rPr>
          <w:rFonts w:ascii="Arial" w:eastAsia="Arial" w:hAnsi="Arial" w:cs="Arial"/>
          <w:color w:val="000000"/>
          <w:highlight w:val="yellow"/>
        </w:rPr>
        <w:tab/>
        <w:t xml:space="preserve">Los contratos prohíben al proveedor emplear la información de la SUNAT (en particular la sujeta a reserva tributaria y los datos personales) para entrenar, </w:t>
      </w:r>
      <w:r>
        <w:rPr>
          <w:rFonts w:ascii="Arial" w:eastAsia="Arial" w:hAnsi="Arial" w:cs="Arial"/>
          <w:color w:val="000000"/>
          <w:highlight w:val="yellow"/>
        </w:rPr>
        <w:lastRenderedPageBreak/>
        <w:t>ajustar o mejorar sus modelos o para cualquier fin propio, en concordancia con el artículo 85 del Código Tributario, que extiende la obligación de reserva a quienes accedan a dicha información. La propiedad intelectual de los ajustes (fine-tuning) realizados con información o para necesidades de la SUNAT corresponde a la SUNAT.</w:t>
      </w:r>
    </w:p>
    <w:p w14:paraId="010751C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6.12.5</w:t>
      </w:r>
      <w:r>
        <w:rPr>
          <w:rFonts w:ascii="Arial" w:eastAsia="Arial" w:hAnsi="Arial" w:cs="Arial"/>
          <w:color w:val="000000"/>
          <w:highlight w:val="yellow"/>
        </w:rPr>
        <w:tab/>
        <w:t>Para los SBIA de riesgo alto, el proveedor entrega la documentación técnica que permita comprender la lógica general del modelo y los factores que influyen en sus resultados, en la medida necesaria para el cumplimiento de las obligaciones de transparencia y explicabilidad de la SUNAT, evitando soluciones de caja negra no auditables.</w:t>
      </w:r>
    </w:p>
    <w:p w14:paraId="10D8630F" w14:textId="77777777" w:rsidR="00863A18" w:rsidRPr="00833CDE" w:rsidRDefault="00863A18" w:rsidP="00B23382">
      <w:pPr>
        <w:pStyle w:val="SubtituloDONI"/>
        <w:spacing w:line="276" w:lineRule="auto"/>
        <w:ind w:left="851"/>
        <w:rPr>
          <w:highlight w:val="lightGray"/>
        </w:rPr>
      </w:pPr>
      <w:r w:rsidRPr="00833CDE">
        <w:rPr>
          <w:highlight w:val="lightGray"/>
        </w:rPr>
        <w:t>6.13</w:t>
      </w:r>
      <w:r w:rsidRPr="00833CDE">
        <w:rPr>
          <w:highlight w:val="lightGray"/>
        </w:rPr>
        <w:tab/>
        <w:t>De la sensibilización, educación y capacitación</w:t>
      </w:r>
    </w:p>
    <w:p w14:paraId="02AA9A87"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conduce las acciones de sensibilización, capacitación y gestión del cambio vinculadas al uso de sistemas basados en inteligencia artificial, de conformidad con las funciones establecidas en el Reglamento de Organización y Funciones de la SUNAT y con el apoyo técnico de la Comisión de Gobierno de IA.</w:t>
      </w:r>
    </w:p>
    <w:p w14:paraId="65F6E8E9" w14:textId="7EEC5B38"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6.13.1 Sensibilización</w:t>
      </w:r>
    </w:p>
    <w:p w14:paraId="4C521181" w14:textId="77777777" w:rsidR="00462A57" w:rsidRPr="00833CDE" w:rsidRDefault="00462A57" w:rsidP="00AB5DBB">
      <w:pPr>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Todo el personal de la SUNAT vinculado al diseño, desarrollo, implementación, evaluación o uso de sistemas basados en IA es sensibilizado respecto del uso seguro, responsable y ético de dichos sistemas, así como de los riesgos asociados y de las disposiciones establecidas en la Política de uso seguro, responsable y ético de los sistemas basados en IA de la SUNAT.</w:t>
      </w:r>
    </w:p>
    <w:p w14:paraId="03767110" w14:textId="77777777" w:rsidR="00462A57" w:rsidRPr="00833CDE" w:rsidRDefault="00462A57" w:rsidP="00AB5DBB">
      <w:pPr>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Las acciones de sensibilización consideran, como mínimo:</w:t>
      </w:r>
    </w:p>
    <w:p w14:paraId="31E5E6A5" w14:textId="77777777" w:rsidR="00462A57" w:rsidRPr="00833CDE" w:rsidRDefault="00462A57" w:rsidP="00AB5DBB">
      <w:pPr>
        <w:pStyle w:val="Prrafodelista"/>
        <w:numPr>
          <w:ilvl w:val="0"/>
          <w:numId w:val="26"/>
        </w:numPr>
        <w:spacing w:before="0" w:line="276" w:lineRule="auto"/>
        <w:ind w:left="1560"/>
        <w:rPr>
          <w:b w:val="0"/>
          <w:bCs w:val="0"/>
          <w:color w:val="000000"/>
          <w:highlight w:val="lightGray"/>
        </w:rPr>
      </w:pPr>
      <w:r w:rsidRPr="00833CDE">
        <w:rPr>
          <w:b w:val="0"/>
          <w:bCs w:val="0"/>
          <w:color w:val="000000"/>
          <w:highlight w:val="lightGray"/>
        </w:rPr>
        <w:t>La finalidad y los principios institucionales aplicables a los sistemas basados en IA.</w:t>
      </w:r>
    </w:p>
    <w:p w14:paraId="4379805E" w14:textId="77777777" w:rsidR="00462A57" w:rsidRPr="00833CDE" w:rsidRDefault="00462A57" w:rsidP="00AB5DBB">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Los riesgos derivados de su diseño, desarrollo, implementación y uso.</w:t>
      </w:r>
    </w:p>
    <w:p w14:paraId="4C43874D" w14:textId="77777777" w:rsidR="00462A57" w:rsidRPr="00833CDE" w:rsidRDefault="00462A57" w:rsidP="00AB5DBB">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protección de los derechos fundamentales de los administrados y la prevención de sesgos o resultados discriminatorios.</w:t>
      </w:r>
    </w:p>
    <w:p w14:paraId="3C9A30B7" w14:textId="77777777" w:rsidR="00462A57" w:rsidRPr="00833CDE" w:rsidRDefault="00462A57" w:rsidP="00AB5DBB">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protección de la reserva tributaria, secreto comercial y demás obligaciones de confidencialidad aplicables.</w:t>
      </w:r>
    </w:p>
    <w:p w14:paraId="24701C8F" w14:textId="251548E5" w:rsidR="00462A57" w:rsidRPr="00833CDE" w:rsidRDefault="00462A57" w:rsidP="00AB5DBB">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El impacto social y ambiental de los sistemas basados en IA.</w:t>
      </w:r>
    </w:p>
    <w:p w14:paraId="7C045AC2" w14:textId="77777777" w:rsidR="00462A57" w:rsidRPr="00833CDE" w:rsidRDefault="00462A57" w:rsidP="00AB5DBB">
      <w:pPr>
        <w:tabs>
          <w:tab w:val="left" w:pos="1276"/>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Esta disposición incorpora los requerimientos establecidos en el numeral 28.9 del artículo 28 del Reglamento y adopta medidas adicionales de sensibilización orientadas a promover el uso seguro, responsable y ético de los sistemas basados en IA, en concordancia con el numeral 7.3 de la NTP-ISO/IEC 42001:2025.</w:t>
      </w:r>
    </w:p>
    <w:p w14:paraId="74A770FE" w14:textId="1AFAF2C5"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6.13.2 Capacitación y fortalecimiento de capacidades</w:t>
      </w:r>
    </w:p>
    <w:p w14:paraId="56A6AAD2"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 xml:space="preserve">La Intendencia Nacional de Recursos Humanos fortalece de manera progresiva y sistemática las capacidades y competencias de su personal en materia de sistemas basados en IA mediante acciones formativas. </w:t>
      </w:r>
    </w:p>
    <w:p w14:paraId="52F41F84"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lastRenderedPageBreak/>
        <w:t>Las necesidades de capacitación asociadas a los distintos roles, los contenidos formativos, las modalidades de capacitación y los mecanismos de evaluación de resultados se determinan en el marco normativo del Plan de Desarrollo de las Personas.</w:t>
      </w:r>
    </w:p>
    <w:p w14:paraId="7A69F400"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Estas acciones consideran, como mínimo:</w:t>
      </w:r>
    </w:p>
    <w:p w14:paraId="4DC2972A"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Los fundamentos y el ciclo de vida de los sistemas basados en IA.</w:t>
      </w:r>
    </w:p>
    <w:p w14:paraId="3D2E0724"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gestión de riesgos y la seguridad de la información aplicables.</w:t>
      </w:r>
    </w:p>
    <w:p w14:paraId="29D4C49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ética, integridad y responsabilidad en el uso de la IA.</w:t>
      </w:r>
    </w:p>
    <w:p w14:paraId="6286F73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protección de datos personales.</w:t>
      </w:r>
    </w:p>
    <w:p w14:paraId="6EC73725"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protección de la reserva tributaria cuando los sistemas procesen información de los administrados.</w:t>
      </w:r>
    </w:p>
    <w:p w14:paraId="6B9B86CB"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Esta disposición se implementa conforme al numeral 28.5 del artículo 28 del Reglamento y en concordancia con el numeral 7.2 y el Anexo A.4 de la NTP</w:t>
      </w:r>
      <w:r w:rsidRPr="00833CDE">
        <w:rPr>
          <w:rFonts w:ascii="Arial" w:eastAsia="Arial" w:hAnsi="Arial" w:cs="Arial"/>
          <w:color w:val="000000"/>
          <w:highlight w:val="lightGray"/>
        </w:rPr>
        <w:noBreakHyphen/>
        <w:t>ISO/IEC 42001:2025.</w:t>
      </w:r>
    </w:p>
    <w:p w14:paraId="488EF96E" w14:textId="7CCFC609"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6.13.3 Gestión del cambio</w:t>
      </w:r>
    </w:p>
    <w:p w14:paraId="3003C927"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1C48AEFE" w14:textId="77777777"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Las acciones de gestión del cambio facilitan la consolidación de la Política institucional de uso seguro, responsable y ético de los sistemas basados en IA y del sistema de gestión de IA, promoviendo su integración en la gestión institucional y favoreciendo las condiciones organizacionales necesarias para su sostenibilidad y mejora continua, en concordancia con los numerales 28.1 y 28.2 del artículo 28 del Reglamento.</w:t>
      </w:r>
    </w:p>
    <w:p w14:paraId="69C7D64F" w14:textId="77777777" w:rsidR="000153F0" w:rsidRDefault="00000000">
      <w:pPr>
        <w:pStyle w:val="SubtituloDONI"/>
        <w:spacing w:line="276" w:lineRule="auto"/>
        <w:ind w:left="851"/>
      </w:pPr>
      <w:r>
        <w:rPr>
          <w:highlight w:val="yellow"/>
        </w:rPr>
        <w:t>6.14</w:t>
      </w:r>
      <w:r>
        <w:rPr>
          <w:highlight w:val="yellow"/>
        </w:rPr>
        <w:tab/>
        <w:t>De la ética y la integridad en los SBIA</w:t>
      </w:r>
    </w:p>
    <w:p w14:paraId="3275817F"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6.14.1</w:t>
      </w:r>
      <w:r>
        <w:rPr>
          <w:rFonts w:ascii="Arial" w:eastAsia="Arial" w:hAnsi="Arial" w:cs="Arial"/>
          <w:color w:val="000000"/>
          <w:highlight w:val="yellow"/>
        </w:rPr>
        <w:tab/>
        <w:t>En el desarrollo, la implementación y el uso de los SBIA, la SUNAT promueve la participación de equipos diversos y multidisciplinarios, garantiza el pleno respeto de los derechos humanos y evita que se generen resultados injustos o discriminatorios, considera el impacto social y ambiental, e implementa las mejores prácticas, estándares y normas técnicas para identificar y minimizar los sesgos de los algoritmos y de las bases de datos utilizados</w:t>
      </w:r>
      <w:r>
        <w:rPr>
          <w:rStyle w:val="Refdenotaalpie"/>
        </w:rPr>
        <w:footnoteReference w:id="14"/>
      </w:r>
      <w:r>
        <w:rPr>
          <w:rFonts w:ascii="Arial" w:eastAsia="Arial" w:hAnsi="Arial" w:cs="Arial"/>
          <w:color w:val="000000"/>
          <w:highlight w:val="yellow"/>
        </w:rPr>
        <w:t>.</w:t>
      </w:r>
    </w:p>
    <w:p w14:paraId="60F5B515"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r>
      <w:r>
        <w:rPr>
          <w:rFonts w:ascii="Arial" w:eastAsia="Arial" w:hAnsi="Arial" w:cs="Arial"/>
          <w:color w:val="000000"/>
          <w:highlight w:val="yellow"/>
        </w:rPr>
        <w:tab/>
        <w:t>La SUNAT promueve que su personal cumpla las normas del Código de Ética de la Función Pública, su Reglamento y las normas de integridad en el desarrollo, la implementación y el uso de los SBIA</w:t>
      </w:r>
      <w:r>
        <w:rPr>
          <w:rStyle w:val="Refdenotaalpie"/>
        </w:rPr>
        <w:footnoteReference w:id="15"/>
      </w:r>
      <w:r>
        <w:rPr>
          <w:rFonts w:ascii="Arial" w:eastAsia="Arial" w:hAnsi="Arial" w:cs="Arial"/>
          <w:color w:val="000000"/>
          <w:highlight w:val="yellow"/>
        </w:rPr>
        <w:t xml:space="preserve">. La OII supervisa el cumplimiento de los principios éticos en los SBIA, evalúa los riesgos de sesgo </w:t>
      </w:r>
      <w:r>
        <w:rPr>
          <w:rFonts w:ascii="Arial" w:eastAsia="Arial" w:hAnsi="Arial" w:cs="Arial"/>
          <w:color w:val="000000"/>
          <w:highlight w:val="yellow"/>
        </w:rPr>
        <w:lastRenderedPageBreak/>
        <w:t>y discriminación y administra el canal de consultas éticas en materia de IA. Su opinión sobre la clasificación de riesgo consta conforme al numeral 6.2.2.</w:t>
      </w:r>
    </w:p>
    <w:p w14:paraId="42351527"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r>
      <w:r>
        <w:rPr>
          <w:rFonts w:ascii="Arial" w:eastAsia="Arial" w:hAnsi="Arial" w:cs="Arial"/>
          <w:color w:val="000000"/>
          <w:highlight w:val="yellow"/>
        </w:rPr>
        <w:tab/>
        <w:t>Los Lineamientos Éticos que apruebe la SGTD</w:t>
      </w:r>
      <w:r>
        <w:rPr>
          <w:rStyle w:val="Refdenotaalpie"/>
        </w:rPr>
        <w:footnoteReference w:id="16"/>
      </w:r>
      <w:r>
        <w:rPr>
          <w:rFonts w:ascii="Arial" w:eastAsia="Arial" w:hAnsi="Arial" w:cs="Arial"/>
          <w:color w:val="000000"/>
          <w:highlight w:val="yellow"/>
        </w:rPr>
        <w:t xml:space="preserve"> son de aplicación en la SUNAT desde su entrada en vigencia. La Comisión de Gobierno de IA evalúa su impacto en la presente directiva y propone al CGTD los ajustes que correspondan.</w:t>
      </w:r>
    </w:p>
    <w:p w14:paraId="0D4D1298" w14:textId="34B24A1F" w:rsidR="00326739" w:rsidRPr="002D136C" w:rsidRDefault="00326739" w:rsidP="002D136C">
      <w:pPr>
        <w:pStyle w:val="SubtituloDONI"/>
        <w:spacing w:line="276" w:lineRule="auto"/>
        <w:ind w:left="851"/>
        <w:rPr>
          <w:color w:val="000000"/>
          <w:highlight w:val="lightGray"/>
        </w:rPr>
      </w:pPr>
      <w:r w:rsidRPr="002D136C">
        <w:rPr>
          <w:highlight w:val="lightGray"/>
        </w:rPr>
        <w:t>6.15 De la articulación con la formulación de iniciativas, proyectos e inversiones</w:t>
      </w:r>
    </w:p>
    <w:p w14:paraId="0BD19C27" w14:textId="19077C6E" w:rsidR="00326739" w:rsidRPr="002D136C" w:rsidRDefault="00326739" w:rsidP="002D136C">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 xml:space="preserve">6.15.1 Toda iniciativa, requerimiento o proyecto que incorpore o prevea un componente basado en IA requiere la opinión de viabilidad de la Comisión de Gobierno de IA sobre dicho componente. </w:t>
      </w:r>
      <w:r w:rsidR="00722166" w:rsidRPr="00722166">
        <w:rPr>
          <w:rFonts w:ascii="Arial" w:hAnsi="Arial" w:cs="Arial"/>
          <w:highlight w:val="lightGray"/>
        </w:rPr>
        <w:t>Esta opinión constituye un requisito institucional interno, exigible en virtud de la presente directiva, cualquiera sea el instrumento de gestión bajo el cual la iniciativa, el requerimiento o el proyecto se formule, ejecute o modifique.</w:t>
      </w:r>
      <w:r w:rsidR="00722166">
        <w:rPr>
          <w:rFonts w:ascii="Arial" w:hAnsi="Arial" w:cs="Arial"/>
        </w:rPr>
        <w:t xml:space="preserve"> </w:t>
      </w:r>
      <w:r w:rsidRPr="002D136C">
        <w:rPr>
          <w:rFonts w:ascii="Arial" w:hAnsi="Arial" w:cs="Arial"/>
          <w:highlight w:val="lightGray"/>
        </w:rPr>
        <w:t>La opinión es insumo del análisis que sustenta la decisión que corresponda y es determinante respecto del componente de IA; no sustituye las aprobaciones que competen a la Alta Dirección ni las de los sistemas administrativos del Estado. Se emite sobre la Ficha de Evaluación de Caso de Uso (Anexo N.° 4), adecuada a la naturaleza y magnitud de la iniciativa, requerimiento o proyecto.</w:t>
      </w:r>
    </w:p>
    <w:p w14:paraId="036045F6" w14:textId="1232AD42" w:rsidR="00326739" w:rsidRPr="002D136C" w:rsidRDefault="00326739" w:rsidP="002D136C">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6.15.2 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1F688DEA" w14:textId="7E3FBF95" w:rsidR="00326739" w:rsidRPr="00722166" w:rsidRDefault="00326739" w:rsidP="00722166">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w:t>
      </w:r>
      <w:r w:rsidRPr="00722166">
        <w:rPr>
          <w:rFonts w:ascii="Arial" w:hAnsi="Arial" w:cs="Arial"/>
          <w:highlight w:val="lightGray"/>
        </w:rPr>
        <w:t xml:space="preserve">15.3 </w:t>
      </w:r>
      <w:r w:rsidR="00722166" w:rsidRPr="00722166">
        <w:rPr>
          <w:rFonts w:ascii="Arial" w:hAnsi="Arial" w:cs="Arial"/>
          <w:highlight w:val="lightGray"/>
        </w:rPr>
        <w:t>En los programas y proyectos institucionales conforme al MGPP, cuando se identifique un componente basado en IA se recaba la opinión de la Comisión con carácter previo a la aprobación que corresponda. La obligación aplica en la</w:t>
      </w:r>
      <w:r w:rsidR="00722166">
        <w:rPr>
          <w:rFonts w:ascii="Arial" w:hAnsi="Arial" w:cs="Arial"/>
          <w:highlight w:val="lightGray"/>
        </w:rPr>
        <w:t xml:space="preserve"> </w:t>
      </w:r>
      <w:r w:rsidR="00722166" w:rsidRPr="00722166">
        <w:rPr>
          <w:rFonts w:ascii="Arial" w:hAnsi="Arial" w:cs="Arial"/>
          <w:highlight w:val="lightGray"/>
        </w:rPr>
        <w:t>formulación del caso de negocio; en la elaboración del plan de gestión del proyecto, cuando el detalle de los componentes funcionales revele un componente de IA no previsto; y durante la ejecución, cuando una solicitud de cambio incorpore, sustituya o modifique un componente de IA, aun cuando el cambio no impacte los entregables ni los hitos comprometidos.</w:t>
      </w:r>
    </w:p>
    <w:p w14:paraId="09190F8C" w14:textId="551338CC" w:rsidR="00326739" w:rsidRPr="002D136C" w:rsidRDefault="00326739" w:rsidP="002D136C">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6.15.4 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observa el ciclo de vida del numeral 6.1.</w:t>
      </w:r>
    </w:p>
    <w:p w14:paraId="7A178181" w14:textId="77777777" w:rsidR="00670027" w:rsidRDefault="00326739" w:rsidP="00A72414">
      <w:pPr>
        <w:spacing w:after="60" w:line="276" w:lineRule="auto"/>
        <w:ind w:left="1276" w:hanging="709"/>
        <w:jc w:val="both"/>
        <w:rPr>
          <w:rFonts w:ascii="Arial" w:hAnsi="Arial" w:cs="Arial"/>
        </w:rPr>
      </w:pPr>
      <w:r w:rsidRPr="00A72414">
        <w:rPr>
          <w:rFonts w:ascii="Arial" w:hAnsi="Arial" w:cs="Arial"/>
          <w:highlight w:val="lightGray"/>
        </w:rPr>
        <w:t>6.15.5</w:t>
      </w:r>
      <w:r w:rsidR="00A72414">
        <w:rPr>
          <w:rFonts w:ascii="Arial" w:hAnsi="Arial" w:cs="Arial"/>
          <w:highlight w:val="lightGray"/>
        </w:rPr>
        <w:t xml:space="preserve"> </w:t>
      </w:r>
      <w:r w:rsidRPr="00A72414">
        <w:rPr>
          <w:rFonts w:ascii="Arial" w:hAnsi="Arial" w:cs="Arial"/>
          <w:highlight w:val="lightGray"/>
        </w:rPr>
        <w:t xml:space="preserve">Las unidades competentes de cada instrumento incorporan en sus </w:t>
      </w:r>
      <w:r w:rsidR="00A72414">
        <w:rPr>
          <w:rFonts w:ascii="Arial" w:hAnsi="Arial" w:cs="Arial"/>
          <w:highlight w:val="lightGray"/>
        </w:rPr>
        <w:t xml:space="preserve">documentos normativos </w:t>
      </w:r>
      <w:r w:rsidRPr="00A72414">
        <w:rPr>
          <w:rFonts w:ascii="Arial" w:hAnsi="Arial" w:cs="Arial"/>
          <w:highlight w:val="lightGray"/>
        </w:rPr>
        <w:t>la verificación del componente de IA y la opinión de la Comisión, según sus competencias y sin afectar los sistemas administrativos del Estado, conforme al numeral 7.6</w:t>
      </w:r>
    </w:p>
    <w:p w14:paraId="4D30DF90" w14:textId="0E3094D1" w:rsidR="000153F0" w:rsidRPr="00A72414" w:rsidRDefault="00670027" w:rsidP="00A72414">
      <w:pPr>
        <w:spacing w:after="60" w:line="276" w:lineRule="auto"/>
        <w:ind w:left="1276" w:hanging="709"/>
        <w:jc w:val="both"/>
        <w:rPr>
          <w:rFonts w:ascii="Arial" w:eastAsia="Arial" w:hAnsi="Arial" w:cs="Arial"/>
          <w:color w:val="000000"/>
          <w:highlight w:val="yellow"/>
        </w:rPr>
      </w:pPr>
      <w:r w:rsidRPr="00670027">
        <w:rPr>
          <w:rFonts w:ascii="Arial" w:hAnsi="Arial" w:cs="Arial"/>
          <w:highlight w:val="lightGray"/>
        </w:rPr>
        <w:lastRenderedPageBreak/>
        <w:t xml:space="preserve">6.15.6 La presente directiva se articula con la normativa institucional de gobernanza de datos y </w:t>
      </w:r>
      <w:r w:rsidRPr="00670027">
        <w:rPr>
          <w:rFonts w:ascii="Arial" w:hAnsi="Arial" w:cs="Arial"/>
          <w:highlight w:val="lightGray"/>
        </w:rPr>
        <w:t>analítica</w:t>
      </w:r>
      <w:r w:rsidRPr="00670027">
        <w:rPr>
          <w:rFonts w:ascii="Arial" w:hAnsi="Arial" w:cs="Arial"/>
          <w:highlight w:val="lightGray"/>
        </w:rPr>
        <w:t xml:space="preserve">. Cuando un producto </w:t>
      </w:r>
      <w:r w:rsidRPr="00670027">
        <w:rPr>
          <w:rFonts w:ascii="Arial" w:hAnsi="Arial" w:cs="Arial"/>
          <w:highlight w:val="lightGray"/>
        </w:rPr>
        <w:t>analítico</w:t>
      </w:r>
      <w:r w:rsidRPr="00670027">
        <w:rPr>
          <w:rFonts w:ascii="Arial" w:hAnsi="Arial" w:cs="Arial"/>
          <w:highlight w:val="lightGray"/>
        </w:rPr>
        <w:t xml:space="preserve"> incorpore un sistema basado en IA, este se sujeta al ciclo de vida, la </w:t>
      </w:r>
      <w:r w:rsidRPr="00670027">
        <w:rPr>
          <w:rFonts w:ascii="Arial" w:hAnsi="Arial" w:cs="Arial"/>
          <w:highlight w:val="lightGray"/>
        </w:rPr>
        <w:t>clasificación</w:t>
      </w:r>
      <w:r w:rsidRPr="00670027">
        <w:rPr>
          <w:rFonts w:ascii="Arial" w:hAnsi="Arial" w:cs="Arial"/>
          <w:highlight w:val="lightGray"/>
        </w:rPr>
        <w:t xml:space="preserve"> de riesgo, la </w:t>
      </w:r>
      <w:r w:rsidRPr="00670027">
        <w:rPr>
          <w:rFonts w:ascii="Arial" w:hAnsi="Arial" w:cs="Arial"/>
          <w:highlight w:val="lightGray"/>
        </w:rPr>
        <w:t>evaluación</w:t>
      </w:r>
      <w:r w:rsidRPr="00670027">
        <w:rPr>
          <w:rFonts w:ascii="Arial" w:hAnsi="Arial" w:cs="Arial"/>
          <w:highlight w:val="lightGray"/>
        </w:rPr>
        <w:t xml:space="preserve"> de impacto </w:t>
      </w:r>
      <w:r w:rsidRPr="00670027">
        <w:rPr>
          <w:rFonts w:ascii="Arial" w:hAnsi="Arial" w:cs="Arial"/>
          <w:highlight w:val="lightGray"/>
        </w:rPr>
        <w:t>algorítmico</w:t>
      </w:r>
      <w:r w:rsidRPr="00670027">
        <w:rPr>
          <w:rFonts w:ascii="Arial" w:hAnsi="Arial" w:cs="Arial"/>
          <w:highlight w:val="lightGray"/>
        </w:rPr>
        <w:t xml:space="preserve">, el registro en el Inventario Institucional de SBIA y las obligaciones de transparencia y </w:t>
      </w:r>
      <w:r w:rsidRPr="00670027">
        <w:rPr>
          <w:rFonts w:ascii="Arial" w:hAnsi="Arial" w:cs="Arial"/>
          <w:highlight w:val="lightGray"/>
        </w:rPr>
        <w:t>supervisión</w:t>
      </w:r>
      <w:r w:rsidRPr="00670027">
        <w:rPr>
          <w:rFonts w:ascii="Arial" w:hAnsi="Arial" w:cs="Arial"/>
          <w:highlight w:val="lightGray"/>
        </w:rPr>
        <w:t xml:space="preserve"> humana previstas en la presente directiva. La </w:t>
      </w:r>
      <w:r w:rsidRPr="00670027">
        <w:rPr>
          <w:rFonts w:ascii="Arial" w:hAnsi="Arial" w:cs="Arial"/>
          <w:highlight w:val="lightGray"/>
        </w:rPr>
        <w:t>certificación</w:t>
      </w:r>
      <w:r w:rsidRPr="00670027">
        <w:rPr>
          <w:rFonts w:ascii="Arial" w:hAnsi="Arial" w:cs="Arial"/>
          <w:highlight w:val="lightGray"/>
        </w:rPr>
        <w:t xml:space="preserve"> del producto </w:t>
      </w:r>
      <w:r w:rsidRPr="00670027">
        <w:rPr>
          <w:rFonts w:ascii="Arial" w:hAnsi="Arial" w:cs="Arial"/>
          <w:highlight w:val="lightGray"/>
        </w:rPr>
        <w:t>analítico</w:t>
      </w:r>
      <w:r w:rsidRPr="00670027">
        <w:rPr>
          <w:rFonts w:ascii="Arial" w:hAnsi="Arial" w:cs="Arial"/>
          <w:highlight w:val="lightGray"/>
        </w:rPr>
        <w:t xml:space="preserve"> requiere, como insumo previo, la </w:t>
      </w:r>
      <w:r w:rsidRPr="00670027">
        <w:rPr>
          <w:rFonts w:ascii="Arial" w:hAnsi="Arial" w:cs="Arial"/>
          <w:highlight w:val="lightGray"/>
        </w:rPr>
        <w:t>aprobación</w:t>
      </w:r>
      <w:r w:rsidRPr="00670027">
        <w:rPr>
          <w:rFonts w:ascii="Arial" w:hAnsi="Arial" w:cs="Arial"/>
          <w:highlight w:val="lightGray"/>
        </w:rPr>
        <w:t xml:space="preserve"> que corresponda conforme al numeral 6.1.2. La calidad, el linaje, los metadatos y la </w:t>
      </w:r>
      <w:r w:rsidRPr="00670027">
        <w:rPr>
          <w:rFonts w:ascii="Arial" w:hAnsi="Arial" w:cs="Arial"/>
          <w:highlight w:val="lightGray"/>
        </w:rPr>
        <w:t>certificación</w:t>
      </w:r>
      <w:r w:rsidRPr="00670027">
        <w:rPr>
          <w:rFonts w:ascii="Arial" w:hAnsi="Arial" w:cs="Arial"/>
          <w:highlight w:val="lightGray"/>
        </w:rPr>
        <w:t xml:space="preserve"> de los datos que alimentan el sistema se rigen por la normativa de gobernanza de datos y </w:t>
      </w:r>
      <w:r w:rsidRPr="00670027">
        <w:rPr>
          <w:rFonts w:ascii="Arial" w:hAnsi="Arial" w:cs="Arial"/>
          <w:highlight w:val="lightGray"/>
        </w:rPr>
        <w:t>analítica</w:t>
      </w:r>
      <w:r w:rsidRPr="00670027">
        <w:rPr>
          <w:rFonts w:ascii="Arial" w:hAnsi="Arial" w:cs="Arial"/>
          <w:highlight w:val="lightGray"/>
        </w:rPr>
        <w:t>.</w:t>
      </w:r>
      <w:r w:rsidR="00326739" w:rsidRPr="00A72414">
        <w:rPr>
          <w:rFonts w:ascii="Arial" w:hAnsi="Arial" w:cs="Arial"/>
        </w:rPr>
        <w:br w:type="page"/>
      </w:r>
    </w:p>
    <w:p w14:paraId="66FD7798" w14:textId="77777777" w:rsidR="00863A18" w:rsidRPr="00923C59" w:rsidRDefault="00863A18" w:rsidP="00B23382">
      <w:pPr>
        <w:pStyle w:val="Ttulo1"/>
        <w:spacing w:line="276" w:lineRule="auto"/>
        <w:rPr>
          <w:rFonts w:cs="Arial"/>
          <w:szCs w:val="22"/>
        </w:rPr>
      </w:pPr>
      <w:bookmarkStart w:id="8" w:name="_Toc235003967"/>
      <w:r>
        <w:rPr>
          <w:rFonts w:cs="Arial"/>
          <w:bCs/>
          <w:color w:val="000000"/>
          <w:szCs w:val="22"/>
        </w:rPr>
        <w:lastRenderedPageBreak/>
        <w:t>DISPOSICIONES FINALES</w:t>
      </w:r>
      <w:bookmarkEnd w:id="8"/>
    </w:p>
    <w:p w14:paraId="24E1EBB8" w14:textId="77777777" w:rsidR="00ED2DC8" w:rsidRPr="00923C59" w:rsidRDefault="00ED2DC8" w:rsidP="00B23382">
      <w:pPr>
        <w:pStyle w:val="SubtituloDONI"/>
        <w:spacing w:line="276" w:lineRule="auto"/>
        <w:ind w:left="851"/>
        <w:rPr>
          <w:b w:val="0"/>
          <w:bCs w:val="0"/>
        </w:rPr>
      </w:pPr>
      <w:r>
        <w:rPr>
          <w:b w:val="0"/>
          <w:bCs w:val="0"/>
        </w:rPr>
        <w:t>7.1</w:t>
      </w:r>
      <w:r>
        <w:rPr>
          <w:b w:val="0"/>
          <w:bCs w:val="0"/>
        </w:rPr>
        <w:tab/>
        <w:t>La presente directiva entra en vigencia al día siguiente de la emisión de la Resolución de Superintendencia que la aprueba.</w:t>
      </w:r>
    </w:p>
    <w:p w14:paraId="0A1CC218" w14:textId="77777777" w:rsidR="00ED2DC8" w:rsidRPr="00923C59" w:rsidRDefault="00ED2DC8" w:rsidP="00B23382">
      <w:pPr>
        <w:pStyle w:val="SubtituloDONI"/>
        <w:spacing w:line="276" w:lineRule="auto"/>
        <w:ind w:left="851"/>
        <w:rPr>
          <w:b w:val="0"/>
          <w:bCs w:val="0"/>
        </w:rPr>
      </w:pPr>
      <w:r>
        <w:rPr>
          <w:b w:val="0"/>
          <w:bCs w:val="0"/>
        </w:rPr>
        <w:t>7.2</w:t>
      </w:r>
      <w:r>
        <w:rPr>
          <w:b w:val="0"/>
          <w:bCs w:val="0"/>
        </w:rPr>
        <w:tab/>
        <w:t>La actualización de la presente directiva es propuesta por la Comisión de Gobierno de IA, conforme a la METDONI.</w:t>
      </w:r>
    </w:p>
    <w:p w14:paraId="0C4EDACE" w14:textId="77777777" w:rsidR="0018147B" w:rsidRDefault="00000000" w:rsidP="00CB040E">
      <w:pPr>
        <w:pStyle w:val="SubtituloDONI"/>
        <w:spacing w:before="0" w:after="0" w:line="276" w:lineRule="auto"/>
        <w:ind w:left="851"/>
        <w:rPr>
          <w:b w:val="0"/>
          <w:bCs w:val="0"/>
        </w:rPr>
      </w:pPr>
      <w:r>
        <w:rPr>
          <w:b w:val="0"/>
          <w:bCs w:val="0"/>
          <w:highlight w:val="yellow"/>
        </w:rPr>
        <w:t>7.3</w:t>
      </w:r>
      <w:r>
        <w:rPr>
          <w:b w:val="0"/>
          <w:bCs w:val="0"/>
          <w:highlight w:val="yellow"/>
        </w:rPr>
        <w:tab/>
        <w:t>La Comisión de Gobierno de IA se conforma mediante Resolución de Superintendencia, a propuesta del CGTD, conforme al numeral 5.3 de la presente directiva. El CGTD designa a su Coordinador.</w:t>
      </w:r>
    </w:p>
    <w:p w14:paraId="482CBA45" w14:textId="77777777" w:rsidR="00CB040E" w:rsidRPr="00CB040E" w:rsidRDefault="00CB040E" w:rsidP="00CB040E">
      <w:pPr>
        <w:pStyle w:val="SubtituloDONI"/>
        <w:spacing w:line="276" w:lineRule="auto"/>
        <w:ind w:left="851"/>
        <w:rPr>
          <w:b w:val="0"/>
          <w:bCs w:val="0"/>
          <w:highlight w:val="cyan"/>
        </w:rPr>
      </w:pPr>
      <w:r>
        <w:rPr>
          <w:b w:val="0"/>
          <w:bCs w:val="0"/>
          <w:highlight w:val="cyan"/>
        </w:rPr>
        <w:t>7.4</w:t>
      </w:r>
      <w:r>
        <w:rPr>
          <w:b w:val="0"/>
          <w:bCs w:val="0"/>
          <w:highlight w:val="cyan"/>
        </w:rPr>
        <w:tab/>
        <w:t>El Sistema de Gestión de Inteligencia Artificial (SGIA) de la SUNAT se rige por la NTP-ISO/IEC 42001:2025. La Comisión de Gobierno de IA propone al CGTD el plan de implementación del SGIA, con hitos y responsables, y coordina los lineamientos técnicos que correspondan.</w:t>
      </w:r>
    </w:p>
    <w:p w14:paraId="76F2D410" w14:textId="77777777" w:rsidR="00ED2DC8" w:rsidRPr="00923C59" w:rsidRDefault="00ED2DC8" w:rsidP="00B23382">
      <w:pPr>
        <w:pStyle w:val="SubtituloDONI"/>
        <w:spacing w:line="276" w:lineRule="auto"/>
        <w:ind w:left="851"/>
        <w:rPr>
          <w:b w:val="0"/>
          <w:bCs w:val="0"/>
        </w:rPr>
      </w:pPr>
      <w:r>
        <w:rPr>
          <w:b w:val="0"/>
          <w:bCs w:val="0"/>
        </w:rPr>
        <w:t>7.5</w:t>
      </w:r>
      <w:r>
        <w:rPr>
          <w:b w:val="0"/>
          <w:bCs w:val="0"/>
        </w:rPr>
        <w:tab/>
        <w:t xml:space="preserve">La Comisión de Gobierno de IA, con el apoyo técnico de la INSI, implementa el Inventario Institucional de SBIA. </w:t>
      </w:r>
    </w:p>
    <w:p w14:paraId="5CBE5256" w14:textId="106BA7D5" w:rsidR="00836DA1" w:rsidRDefault="00000000">
      <w:pPr>
        <w:pStyle w:val="SubtituloDONI"/>
        <w:spacing w:line="276" w:lineRule="auto"/>
        <w:ind w:left="851"/>
        <w:rPr>
          <w:b w:val="0"/>
          <w:bCs w:val="0"/>
        </w:rPr>
      </w:pPr>
      <w:r>
        <w:rPr>
          <w:color w:val="000000"/>
          <w:highlight w:val="cyan"/>
        </w:rPr>
        <w:t>7.6</w:t>
      </w:r>
      <w:r>
        <w:rPr>
          <w:color w:val="000000"/>
          <w:highlight w:val="cyan"/>
        </w:rPr>
        <w:tab/>
      </w:r>
      <w:r>
        <w:rPr>
          <w:b w:val="0"/>
          <w:bCs w:val="0"/>
          <w:color w:val="000000"/>
          <w:highlight w:val="cyan"/>
        </w:rPr>
        <w:t xml:space="preserve">Las unidades de organización a las que la presente directiva asigna una responsabilidad desarrollan y aprueban, en el ámbito de las competencias que les reconoce el ROF, los documentos normativos institucionales de menor rango (metodologías, guías metodológicas, procedimientos, instructivos y lineamientos temporales) que establecen la forma de ejecutar dicha responsabilidad, conforme a la METDONI. </w:t>
      </w:r>
      <w:r w:rsidR="002D136C" w:rsidRPr="006C344B">
        <w:rPr>
          <w:b w:val="0"/>
          <w:bCs w:val="0"/>
          <w:color w:val="000000"/>
          <w:highlight w:val="lightGray"/>
        </w:rPr>
        <w:t>Dichos documentos desarrollan la aplicación de lo dispuesto en la presente directiva y no modifican sus disposiciones, sus Anexos ni las competencias de aprobación que establece</w:t>
      </w:r>
      <w:r w:rsidR="006C344B" w:rsidRPr="006C344B">
        <w:rPr>
          <w:b w:val="0"/>
          <w:bCs w:val="0"/>
          <w:color w:val="000000"/>
          <w:highlight w:val="lightGray"/>
        </w:rPr>
        <w:t xml:space="preserve">. </w:t>
      </w:r>
      <w:r w:rsidR="006C344B" w:rsidRPr="006C344B">
        <w:rPr>
          <w:b w:val="0"/>
          <w:bCs w:val="0"/>
          <w:color w:val="000000"/>
          <w:highlight w:val="cyan"/>
        </w:rPr>
        <w:t>Los encargos son los previstos en las disposiciones específicas de la presente directiva; su plazo se establece mediante acuerdo del Comité de Gobierno y Transformación Digital.</w:t>
      </w:r>
      <w:r w:rsidR="006C344B" w:rsidRPr="006C344B">
        <w:rPr>
          <w:rFonts w:asciiTheme="minorHAnsi" w:eastAsiaTheme="minorEastAsia" w:hAnsiTheme="minorHAnsi" w:cstheme="minorBidi"/>
          <w:b w:val="0"/>
          <w:bCs w:val="0"/>
          <w:highlight w:val="cyan"/>
        </w:rPr>
        <w:t xml:space="preserve"> </w:t>
      </w:r>
      <w:r w:rsidR="006C344B" w:rsidRPr="006C344B">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0C699612" w14:textId="77777777" w:rsidR="00ED2DC8" w:rsidRPr="00923C59" w:rsidRDefault="00ED2DC8" w:rsidP="00B23382">
      <w:pPr>
        <w:pStyle w:val="SubtituloDONI"/>
        <w:spacing w:line="276" w:lineRule="auto"/>
        <w:ind w:left="851"/>
        <w:rPr>
          <w:b w:val="0"/>
          <w:bCs w:val="0"/>
        </w:rPr>
      </w:pPr>
      <w:r>
        <w:rPr>
          <w:b w:val="0"/>
          <w:bCs w:val="0"/>
        </w:rPr>
        <w:t>7.7</w:t>
      </w:r>
      <w:r>
        <w:rPr>
          <w:b w:val="0"/>
          <w:bCs w:val="0"/>
        </w:rPr>
        <w:tab/>
        <w:t xml:space="preserve">El CGTD resuelve las situaciones no previstas, sin perjuicio de la aplicación </w:t>
      </w:r>
      <w:r>
        <w:rPr>
          <w:b w:val="0"/>
          <w:bCs w:val="0"/>
          <w:highlight w:val="cyan"/>
        </w:rPr>
        <w:t>de</w:t>
      </w:r>
      <w:r>
        <w:rPr>
          <w:b w:val="0"/>
          <w:bCs w:val="0"/>
        </w:rPr>
        <w:t xml:space="preserve"> la normativa vigente.</w:t>
      </w:r>
    </w:p>
    <w:p w14:paraId="49AEE86F" w14:textId="77777777" w:rsidR="0018147B" w:rsidRDefault="00000000">
      <w:pPr>
        <w:pStyle w:val="SubtituloDONI"/>
        <w:spacing w:line="276" w:lineRule="auto"/>
        <w:ind w:left="851"/>
        <w:rPr>
          <w:b w:val="0"/>
          <w:bCs w:val="0"/>
        </w:rPr>
      </w:pPr>
      <w:r>
        <w:rPr>
          <w:b w:val="0"/>
          <w:bCs w:val="0"/>
        </w:rPr>
        <w:t>7.8</w:t>
      </w:r>
      <w:r>
        <w:rPr>
          <w:b w:val="0"/>
          <w:bCs w:val="0"/>
        </w:rPr>
        <w:tab/>
        <w:t>Las referencias a normas técnicas aplican a sus versiones vigentes o a las que las sustituyan.</w:t>
      </w:r>
    </w:p>
    <w:p w14:paraId="5617D77E" w14:textId="671D3A1F" w:rsidR="0018147B" w:rsidRDefault="00000000" w:rsidP="00174519">
      <w:pPr>
        <w:pStyle w:val="SubtituloDONI"/>
        <w:spacing w:line="276" w:lineRule="auto"/>
        <w:ind w:left="851"/>
        <w:rPr>
          <w:b w:val="0"/>
          <w:bCs w:val="0"/>
        </w:rPr>
      </w:pPr>
      <w:r w:rsidRPr="00174519">
        <w:rPr>
          <w:b w:val="0"/>
          <w:bCs w:val="0"/>
          <w:highlight w:val="lightGray"/>
        </w:rPr>
        <w:t>7.9</w:t>
      </w:r>
      <w:r w:rsidRPr="00174519">
        <w:rPr>
          <w:b w:val="0"/>
          <w:bCs w:val="0"/>
          <w:highlight w:val="lightGray"/>
        </w:rPr>
        <w:tab/>
      </w:r>
      <w:r w:rsidR="00174519" w:rsidRPr="00174519">
        <w:rPr>
          <w:b w:val="0"/>
          <w:bCs w:val="0"/>
          <w:highlight w:val="lightGray"/>
        </w:rPr>
        <w:t>Los Anexos forman parte de la presente directiva y su modificación se efectúa conforme a la METDONI. El detalle de aplicación de los Anexos, así como los formatos, campos e indicadores operativos que de ellos se derivan, se establecen en los documentos normativos institucionales de menor rango previstos en el numeral 7.6, que las unidades competentes actualizan sin requerir la modificación de la presente directiva.</w:t>
      </w:r>
    </w:p>
    <w:p w14:paraId="6BB2EF90" w14:textId="77777777" w:rsidR="00E67A73" w:rsidRDefault="00000000">
      <w:pPr>
        <w:pStyle w:val="SubtituloDONI"/>
        <w:spacing w:line="276" w:lineRule="auto"/>
        <w:ind w:left="851"/>
        <w:rPr>
          <w:b w:val="0"/>
          <w:bCs w:val="0"/>
        </w:rPr>
      </w:pPr>
      <w:r>
        <w:rPr>
          <w:b w:val="0"/>
          <w:bCs w:val="0"/>
          <w:highlight w:val="yellow"/>
        </w:rPr>
        <w:t>7.10</w:t>
      </w:r>
      <w:r>
        <w:rPr>
          <w:b w:val="0"/>
          <w:bCs w:val="0"/>
          <w:highlight w:val="yellow"/>
        </w:rPr>
        <w:tab/>
        <w:t xml:space="preserve">El Oficial de Inteligencia Artificial (OIA) de la SUNAT, previsto en el artículo 6 de la Estrategia Nacional de Inteligencia Artificial 2026-2030,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lineamientos que emita la SGTD-PCM, en aplicación de la Primera Disposición </w:t>
      </w:r>
      <w:r>
        <w:rPr>
          <w:b w:val="0"/>
          <w:bCs w:val="0"/>
          <w:highlight w:val="yellow"/>
        </w:rPr>
        <w:lastRenderedPageBreak/>
        <w:t>Complementaria Final de la citada Estrategia. En tanto no se emitan dichos lineamientos, las funciones de coordinación técnica en materia de IA son ejercidas por el Coordinador de la Comisión de Gobierno de IA.</w:t>
      </w:r>
      <w:r>
        <w:rPr>
          <w:rFonts w:asciiTheme="minorHAnsi" w:eastAsiaTheme="minorEastAsia" w:hAnsiTheme="minorHAnsi" w:cstheme="minorBidi"/>
          <w:b w:val="0"/>
          <w:bCs w:val="0"/>
          <w:highlight w:val="yellow"/>
        </w:rPr>
        <w:t xml:space="preserve"> </w:t>
      </w:r>
      <w:r>
        <w:rPr>
          <w:b w:val="0"/>
          <w:bCs w:val="0"/>
          <w:highlight w:val="yellow"/>
        </w:rPr>
        <w:t>Emitidos dichos lineamientos y designado el OIA, la Comisión de Gobierno de IA evalúa su articulación conforme a ellos y propone al CGTD los ajustes que correspondan.</w:t>
      </w:r>
    </w:p>
    <w:p w14:paraId="4A9D4BA4" w14:textId="77777777" w:rsidR="000153F0" w:rsidRDefault="00000000">
      <w:pPr>
        <w:pStyle w:val="SubtituloDONI"/>
        <w:spacing w:line="276" w:lineRule="auto"/>
        <w:ind w:left="851"/>
        <w:rPr>
          <w:b w:val="0"/>
          <w:bCs w:val="0"/>
        </w:rPr>
      </w:pPr>
      <w:r>
        <w:rPr>
          <w:b w:val="0"/>
          <w:bCs w:val="0"/>
          <w:highlight w:val="yellow"/>
        </w:rPr>
        <w:t>7.11</w:t>
      </w:r>
      <w:r>
        <w:rPr>
          <w:b w:val="0"/>
          <w:bCs w:val="0"/>
          <w:highlight w:val="yellow"/>
        </w:rPr>
        <w:tab/>
        <w:t>El Plan de Acción de Inteligencia Artificial (PAIA) forma parte del Portafolio de Proyectos del PGD, conforme al numeral 5.5 del artículo 5 de la ENIA. Su aprobación requiere que la SUNAT haya aprobado o implementado previamente su Plan de Acción de Gobierno de Datos (PAGD), conforme al numeral 5.4 del mismo artículo;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norma y al numeral 28.10 del artículo 28 del RLIA. Su formulación corresponde a la fase posterior a la aprobación de la presente directiva.</w:t>
      </w:r>
    </w:p>
    <w:p w14:paraId="0F6BB4D0" w14:textId="77777777" w:rsidR="00863A18" w:rsidRPr="00923C59" w:rsidRDefault="00863A18" w:rsidP="00B23382">
      <w:pPr>
        <w:pStyle w:val="Ttulo1"/>
        <w:spacing w:line="276" w:lineRule="auto"/>
        <w:rPr>
          <w:rFonts w:cs="Arial"/>
          <w:szCs w:val="22"/>
        </w:rPr>
      </w:pPr>
      <w:bookmarkStart w:id="9" w:name="_Toc235003968"/>
      <w:r>
        <w:rPr>
          <w:rFonts w:cs="Arial"/>
          <w:bCs/>
          <w:color w:val="000000"/>
          <w:szCs w:val="22"/>
        </w:rPr>
        <w:t>ANEXOS</w:t>
      </w:r>
      <w:bookmarkEnd w:id="9"/>
    </w:p>
    <w:p w14:paraId="3204480F"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694D3FA3"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538F4866"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3AD95862"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3F206D96" w14:textId="77777777" w:rsidR="004F49BB" w:rsidRDefault="004F49BB" w:rsidP="00B23382">
      <w:pPr>
        <w:spacing w:line="276" w:lineRule="auto"/>
        <w:rPr>
          <w:rFonts w:ascii="Arial" w:eastAsia="Arial" w:hAnsi="Arial" w:cs="Arial"/>
          <w:b/>
          <w:bCs/>
          <w:color w:val="000000"/>
        </w:rPr>
      </w:pPr>
      <w:r>
        <w:rPr>
          <w:rFonts w:ascii="Arial" w:eastAsia="Arial" w:hAnsi="Arial" w:cs="Arial"/>
          <w:b/>
          <w:bCs/>
          <w:color w:val="000000"/>
        </w:rPr>
        <w:br w:type="page"/>
      </w:r>
    </w:p>
    <w:p w14:paraId="5A18DFFE"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1: Ficha de Registro de SBIA (Campos mínimos del Inventario)</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67758469"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755F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914051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01382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7CECF6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65935A"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D2AA0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2A412"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0280B2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7828F"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E86E9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E8152A"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5DA025B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4B60A4"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C72C2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F5A3F8"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716C7F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D43918"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9F36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70E2"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6F34DDD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011BE"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958DF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737AA5" w14:textId="77777777" w:rsidR="0018147B" w:rsidRDefault="00000000">
            <w:pPr>
              <w:spacing w:before="20" w:after="20" w:line="276" w:lineRule="auto"/>
              <w:rPr>
                <w:rFonts w:ascii="Arial" w:hAnsi="Arial" w:cs="Arial"/>
              </w:rPr>
            </w:pPr>
            <w:r>
              <w:rPr>
                <w:rFonts w:ascii="Arial" w:eastAsia="Arial" w:hAnsi="Arial" w:cs="Arial"/>
                <w:highlight w:val="yellow"/>
              </w:rPr>
              <w:t>Uso indebido (Art. 23), Alto (Art. 24) o Aceptable (Art. 22.2; subnivel limitado o mínimo).</w:t>
            </w:r>
          </w:p>
        </w:tc>
      </w:tr>
      <w:tr w:rsidR="00863A18" w:rsidRPr="00923C59" w14:paraId="3428CA0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2F600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43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6C9F50"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066E50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DA71A4"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465BE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41412D"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625E0E3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0EB550"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4EA5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3452ED"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722166" w14:paraId="65C3EA1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550038"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F637D0"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C80DBE"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Human-in-the-loop, on-the-loop o in-command.</w:t>
            </w:r>
          </w:p>
        </w:tc>
      </w:tr>
      <w:tr w:rsidR="00863A18" w:rsidRPr="00923C59" w14:paraId="0AEC7DB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78949"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79B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FBD378" w14:textId="77777777" w:rsidR="00863A18" w:rsidRPr="00923C59" w:rsidRDefault="00863A18" w:rsidP="00B23382">
            <w:pPr>
              <w:spacing w:before="20" w:after="20" w:line="276" w:lineRule="auto"/>
              <w:rPr>
                <w:rFonts w:ascii="Arial" w:hAnsi="Arial" w:cs="Arial"/>
              </w:rPr>
            </w:pPr>
            <w:r>
              <w:rPr>
                <w:rFonts w:ascii="Arial" w:eastAsia="Arial" w:hAnsi="Arial" w:cs="Arial"/>
              </w:rPr>
              <w:t>Ideación, Evaluación, Diseño, Desarrollo, Pruebas, Producción, Retirado.</w:t>
            </w:r>
          </w:p>
        </w:tc>
      </w:tr>
      <w:tr w:rsidR="00863A18" w:rsidRPr="00923C59" w14:paraId="4F84DB9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9F5DCD"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DE3B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90B537"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2784F0C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E91D2D"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1121B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471F35"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5BF7870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1692F5"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109A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02C2CA"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w:t>
            </w:r>
          </w:p>
        </w:tc>
      </w:tr>
      <w:tr w:rsidR="00863A18" w:rsidRPr="00923C59" w14:paraId="2511E69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0370CE" w14:textId="77777777" w:rsidR="00863A18" w:rsidRPr="00923C59" w:rsidRDefault="00863A18" w:rsidP="00B23382">
            <w:pPr>
              <w:spacing w:before="20" w:after="20" w:line="276" w:lineRule="auto"/>
              <w:rPr>
                <w:rFonts w:ascii="Arial" w:hAnsi="Arial" w:cs="Arial"/>
              </w:rPr>
            </w:pPr>
            <w:r>
              <w:rPr>
                <w:rFonts w:ascii="Arial" w:eastAsia="Arial" w:hAnsi="Arial" w:cs="Arial"/>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0B6C3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Última auditoría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42A070" w14:textId="77777777" w:rsidR="00863A18" w:rsidRPr="00923C59" w:rsidRDefault="00863A18" w:rsidP="00B23382">
            <w:pPr>
              <w:spacing w:before="20" w:after="20" w:line="276" w:lineRule="auto"/>
              <w:rPr>
                <w:rFonts w:ascii="Arial" w:hAnsi="Arial" w:cs="Arial"/>
              </w:rPr>
            </w:pPr>
            <w:r>
              <w:rPr>
                <w:rFonts w:ascii="Arial" w:eastAsia="Arial" w:hAnsi="Arial" w:cs="Arial"/>
              </w:rPr>
              <w:t>Fecha de la última auditoría técnica.</w:t>
            </w:r>
          </w:p>
        </w:tc>
      </w:tr>
      <w:tr w:rsidR="00863A18" w:rsidRPr="00923C59" w14:paraId="39AD186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72882" w14:textId="77777777" w:rsidR="00863A18" w:rsidRPr="00923C59" w:rsidRDefault="00863A18" w:rsidP="00B23382">
            <w:pPr>
              <w:spacing w:before="20" w:after="20" w:line="276" w:lineRule="auto"/>
              <w:rPr>
                <w:rFonts w:ascii="Arial" w:hAnsi="Arial" w:cs="Arial"/>
              </w:rPr>
            </w:pPr>
            <w:r>
              <w:rPr>
                <w:rFonts w:ascii="Arial" w:eastAsia="Arial" w:hAnsi="Arial" w:cs="Arial"/>
              </w:rPr>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69E94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Responsable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2731C4"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unidad de organización en INSI.</w:t>
            </w:r>
          </w:p>
        </w:tc>
      </w:tr>
      <w:tr w:rsidR="003E4730" w:rsidRPr="00923C59" w14:paraId="7AD2C81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8DE5FC"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CC1BA"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0B37E"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EF646B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2A945"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753D"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826F58"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r w:rsidR="00206379" w:rsidRPr="00923C59" w14:paraId="0A01A45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602D0C" w14:textId="157B765D" w:rsidR="00206379" w:rsidRDefault="00206379" w:rsidP="00B23382">
            <w:pPr>
              <w:spacing w:before="20" w:after="20" w:line="276" w:lineRule="auto"/>
              <w:rPr>
                <w:rFonts w:ascii="Arial" w:eastAsia="Arial" w:hAnsi="Arial" w:cs="Arial"/>
              </w:rPr>
            </w:pPr>
            <w:r>
              <w:rPr>
                <w:rFonts w:ascii="Arial" w:eastAsia="Arial" w:hAnsi="Arial" w:cs="Arial"/>
              </w:rPr>
              <w:t>18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AD100F" w14:textId="58CEBE69" w:rsidR="00206379" w:rsidRDefault="00206379" w:rsidP="00B23382">
            <w:pPr>
              <w:spacing w:before="20" w:after="20" w:line="276" w:lineRule="auto"/>
              <w:rPr>
                <w:rFonts w:ascii="Arial" w:eastAsia="Arial" w:hAnsi="Arial" w:cs="Arial"/>
                <w:b/>
                <w:bCs/>
              </w:rPr>
            </w:pPr>
            <w:r w:rsidRPr="00206379">
              <w:rPr>
                <w:rFonts w:ascii="Arial" w:eastAsia="Arial" w:hAnsi="Arial" w:cs="Arial"/>
                <w:b/>
                <w:bCs/>
              </w:rPr>
              <w:t>Versión</w:t>
            </w:r>
            <w:r w:rsidRPr="00206379">
              <w:rPr>
                <w:rFonts w:ascii="Arial" w:eastAsia="Arial" w:hAnsi="Arial" w:cs="Arial"/>
                <w:b/>
                <w:bCs/>
              </w:rPr>
              <w:t xml:space="preserve"> vigente y ultimo cambio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4DDC1B" w14:textId="3FB8444D" w:rsidR="00206379" w:rsidRDefault="00206379" w:rsidP="00B23382">
            <w:pPr>
              <w:spacing w:before="20" w:after="20" w:line="276" w:lineRule="auto"/>
              <w:rPr>
                <w:rFonts w:ascii="Arial" w:eastAsia="Arial" w:hAnsi="Arial" w:cs="Arial"/>
              </w:rPr>
            </w:pPr>
            <w:r w:rsidRPr="00206379">
              <w:rPr>
                <w:rFonts w:ascii="Arial" w:eastAsia="Arial" w:hAnsi="Arial" w:cs="Arial"/>
              </w:rPr>
              <w:t>Identificación</w:t>
            </w:r>
            <w:r w:rsidRPr="00206379">
              <w:rPr>
                <w:rFonts w:ascii="Arial" w:eastAsia="Arial" w:hAnsi="Arial" w:cs="Arial"/>
              </w:rPr>
              <w:t xml:space="preserve"> de la </w:t>
            </w:r>
            <w:r w:rsidRPr="00206379">
              <w:rPr>
                <w:rFonts w:ascii="Arial" w:eastAsia="Arial" w:hAnsi="Arial" w:cs="Arial"/>
              </w:rPr>
              <w:t>versión</w:t>
            </w:r>
            <w:r w:rsidRPr="00206379">
              <w:rPr>
                <w:rFonts w:ascii="Arial" w:eastAsia="Arial" w:hAnsi="Arial" w:cs="Arial"/>
              </w:rPr>
              <w:t xml:space="preserve"> del SBIA en </w:t>
            </w:r>
            <w:r w:rsidRPr="00206379">
              <w:rPr>
                <w:rFonts w:ascii="Arial" w:eastAsia="Arial" w:hAnsi="Arial" w:cs="Arial"/>
              </w:rPr>
              <w:t>producción</w:t>
            </w:r>
            <w:r w:rsidRPr="00206379">
              <w:rPr>
                <w:rFonts w:ascii="Arial" w:eastAsia="Arial" w:hAnsi="Arial" w:cs="Arial"/>
              </w:rPr>
              <w:t xml:space="preserve">, fecha del </w:t>
            </w:r>
            <w:r w:rsidRPr="00206379">
              <w:rPr>
                <w:rFonts w:ascii="Arial" w:eastAsia="Arial" w:hAnsi="Arial" w:cs="Arial"/>
              </w:rPr>
              <w:t>último</w:t>
            </w:r>
            <w:r w:rsidRPr="00206379">
              <w:rPr>
                <w:rFonts w:ascii="Arial" w:eastAsia="Arial" w:hAnsi="Arial" w:cs="Arial"/>
              </w:rPr>
              <w:t xml:space="preserve"> cambio y su </w:t>
            </w:r>
            <w:r w:rsidRPr="00206379">
              <w:rPr>
                <w:rFonts w:ascii="Arial" w:eastAsia="Arial" w:hAnsi="Arial" w:cs="Arial"/>
              </w:rPr>
              <w:t>calificación</w:t>
            </w:r>
            <w:r w:rsidRPr="00206379">
              <w:rPr>
                <w:rFonts w:ascii="Arial" w:eastAsia="Arial" w:hAnsi="Arial" w:cs="Arial"/>
              </w:rPr>
              <w:t xml:space="preserve"> como significativo o no, conforme a los numerales 6.10.4 y 6.10.5</w:t>
            </w:r>
          </w:p>
        </w:tc>
      </w:tr>
    </w:tbl>
    <w:p w14:paraId="29034906" w14:textId="77777777" w:rsidR="00863A18" w:rsidRPr="00923C59" w:rsidRDefault="00863A18" w:rsidP="00B23382">
      <w:pPr>
        <w:spacing w:line="276" w:lineRule="auto"/>
        <w:rPr>
          <w:rFonts w:ascii="Arial" w:hAnsi="Arial" w:cs="Arial"/>
        </w:rPr>
      </w:pPr>
      <w:r>
        <w:rPr>
          <w:rFonts w:ascii="Arial" w:hAnsi="Arial" w:cs="Arial"/>
        </w:rPr>
        <w:br w:type="page"/>
      </w:r>
    </w:p>
    <w:p w14:paraId="7E1538A7"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0F2B57D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0CD52EEB"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7"/>
        <w:gridCol w:w="1757"/>
        <w:gridCol w:w="1758"/>
        <w:gridCol w:w="1758"/>
        <w:gridCol w:w="1758"/>
      </w:tblGrid>
      <w:tr w:rsidR="00863A18" w:rsidRPr="00923C59" w14:paraId="0C990816" w14:textId="77777777" w:rsidTr="00E0746A">
        <w:trPr>
          <w:tblHeader/>
        </w:trPr>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975AB1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Criterio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23244C9" w14:textId="77777777" w:rsidR="0018147B" w:rsidRDefault="00000000">
            <w:pPr>
              <w:spacing w:before="20" w:after="20" w:line="276" w:lineRule="auto"/>
              <w:rPr>
                <w:rFonts w:ascii="Arial" w:hAnsi="Arial" w:cs="Arial"/>
              </w:rPr>
            </w:pPr>
            <w:r>
              <w:rPr>
                <w:rFonts w:ascii="Arial" w:eastAsia="Arial" w:hAnsi="Arial" w:cs="Arial"/>
                <w:b/>
                <w:bCs/>
                <w:highlight w:val="yellow"/>
              </w:rPr>
              <w:t>Riesgo aceptable — mínimo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85B746" w14:textId="77777777" w:rsidR="0018147B" w:rsidRDefault="00000000">
            <w:pPr>
              <w:spacing w:before="20" w:after="20" w:line="276" w:lineRule="auto"/>
              <w:rPr>
                <w:rFonts w:ascii="Arial" w:hAnsi="Arial" w:cs="Arial"/>
              </w:rPr>
            </w:pPr>
            <w:r>
              <w:rPr>
                <w:rFonts w:ascii="Arial" w:eastAsia="Arial" w:hAnsi="Arial" w:cs="Arial"/>
                <w:b/>
                <w:bCs/>
                <w:highlight w:val="yellow"/>
              </w:rPr>
              <w:t>Riesgo aceptable — limitado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DD4D39E" w14:textId="77777777" w:rsidR="0018147B" w:rsidRDefault="00000000">
            <w:pPr>
              <w:spacing w:before="20" w:after="20" w:line="276" w:lineRule="auto"/>
              <w:rPr>
                <w:rFonts w:ascii="Arial" w:hAnsi="Arial" w:cs="Arial"/>
              </w:rPr>
            </w:pPr>
            <w:r>
              <w:rPr>
                <w:rFonts w:ascii="Arial" w:eastAsia="Arial" w:hAnsi="Arial" w:cs="Arial"/>
                <w:b/>
                <w:bCs/>
                <w:highlight w:val="yellow"/>
              </w:rPr>
              <w:t>Riesgo alto (Art. 24)</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8C73068" w14:textId="77777777" w:rsidR="0018147B" w:rsidRDefault="00000000">
            <w:pPr>
              <w:spacing w:before="20" w:after="20" w:line="276" w:lineRule="auto"/>
              <w:rPr>
                <w:rFonts w:ascii="Arial" w:hAnsi="Arial" w:cs="Arial"/>
              </w:rPr>
            </w:pPr>
            <w:r>
              <w:rPr>
                <w:rFonts w:ascii="Arial" w:eastAsia="Arial" w:hAnsi="Arial" w:cs="Arial"/>
                <w:b/>
                <w:bCs/>
                <w:highlight w:val="cyan"/>
              </w:rPr>
              <w:t>Uso indebido (Art. 23)</w:t>
            </w:r>
          </w:p>
        </w:tc>
      </w:tr>
      <w:tr w:rsidR="00863A18" w:rsidRPr="00923C59" w14:paraId="6638A516"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D7E2A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Impacto en derechos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1FC08B" w14:textId="77777777" w:rsidR="00863A18" w:rsidRPr="00923C59" w:rsidRDefault="00863A18" w:rsidP="00B23382">
            <w:pPr>
              <w:spacing w:before="20" w:after="20" w:line="276" w:lineRule="auto"/>
              <w:rPr>
                <w:rFonts w:ascii="Arial" w:hAnsi="Arial" w:cs="Arial"/>
              </w:rPr>
            </w:pPr>
            <w:r>
              <w:rPr>
                <w:rFonts w:ascii="Arial" w:eastAsia="Arial" w:hAnsi="Arial" w:cs="Arial"/>
              </w:rPr>
              <w:t>Sin impacto directo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2A6917" w14:textId="77777777" w:rsidR="00863A18" w:rsidRPr="00923C59" w:rsidRDefault="00863A18" w:rsidP="00B23382">
            <w:pPr>
              <w:spacing w:before="20" w:after="20" w:line="276" w:lineRule="auto"/>
              <w:rPr>
                <w:rFonts w:ascii="Arial" w:hAnsi="Arial" w:cs="Arial"/>
              </w:rPr>
            </w:pPr>
            <w:r>
              <w:rPr>
                <w:rFonts w:ascii="Arial" w:eastAsia="Arial" w:hAnsi="Arial" w:cs="Arial"/>
              </w:rPr>
              <w:t>Impacto informativo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0E73F8" w14:textId="77777777" w:rsidR="00863A18" w:rsidRPr="00923C59" w:rsidRDefault="00863A18" w:rsidP="00B23382">
            <w:pPr>
              <w:spacing w:before="20" w:after="20" w:line="276" w:lineRule="auto"/>
              <w:rPr>
                <w:rFonts w:ascii="Arial" w:hAnsi="Arial" w:cs="Arial"/>
              </w:rPr>
            </w:pPr>
            <w:r>
              <w:rPr>
                <w:rFonts w:ascii="Arial" w:eastAsia="Arial" w:hAnsi="Arial" w:cs="Arial"/>
              </w:rPr>
              <w:t>Impacto significativo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3B80C" w14:textId="77777777" w:rsidR="00863A18" w:rsidRPr="00923C59" w:rsidRDefault="00863A18" w:rsidP="00B23382">
            <w:pPr>
              <w:spacing w:before="20" w:after="20" w:line="276" w:lineRule="auto"/>
              <w:rPr>
                <w:rFonts w:ascii="Arial" w:hAnsi="Arial" w:cs="Arial"/>
              </w:rPr>
            </w:pPr>
            <w:r>
              <w:rPr>
                <w:rFonts w:ascii="Arial" w:eastAsia="Arial" w:hAnsi="Arial" w:cs="Arial"/>
              </w:rPr>
              <w:t>Vulneración grave de derechos fundamentales</w:t>
            </w:r>
          </w:p>
        </w:tc>
      </w:tr>
      <w:tr w:rsidR="00863A18" w:rsidRPr="00923C59" w14:paraId="49715B64"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221915" w14:textId="77777777" w:rsidR="00863A18" w:rsidRPr="00923C59" w:rsidRDefault="00863A18" w:rsidP="00B23382">
            <w:pPr>
              <w:spacing w:before="20" w:after="20" w:line="276" w:lineRule="auto"/>
              <w:rPr>
                <w:rFonts w:ascii="Arial" w:hAnsi="Arial" w:cs="Arial"/>
              </w:rPr>
            </w:pPr>
            <w:r>
              <w:rPr>
                <w:rFonts w:ascii="Arial" w:eastAsia="Arial" w:hAnsi="Arial" w:cs="Arial"/>
                <w:b/>
                <w:bCs/>
              </w:rPr>
              <w:t>Autonomía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28F72D" w14:textId="77777777" w:rsidR="00863A18" w:rsidRPr="00923C59" w:rsidRDefault="00863A18" w:rsidP="00B23382">
            <w:pPr>
              <w:spacing w:before="20" w:after="20" w:line="276" w:lineRule="auto"/>
              <w:rPr>
                <w:rFonts w:ascii="Arial" w:hAnsi="Arial" w:cs="Arial"/>
              </w:rPr>
            </w:pPr>
            <w:r>
              <w:rPr>
                <w:rFonts w:ascii="Arial" w:eastAsia="Arial" w:hAnsi="Arial" w:cs="Arial"/>
              </w:rPr>
              <w:t>Solo asistencia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9F23D6" w14:textId="77777777" w:rsidR="00863A18" w:rsidRPr="00923C59" w:rsidRDefault="00863A18" w:rsidP="00B23382">
            <w:pPr>
              <w:spacing w:before="20" w:after="20" w:line="276" w:lineRule="auto"/>
              <w:rPr>
                <w:rFonts w:ascii="Arial" w:hAnsi="Arial" w:cs="Arial"/>
              </w:rPr>
            </w:pPr>
            <w:r>
              <w:rPr>
                <w:rFonts w:ascii="Arial" w:eastAsia="Arial" w:hAnsi="Arial" w:cs="Arial"/>
              </w:rPr>
              <w:t>Interacción directa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2E7BD7" w14:textId="77777777" w:rsidR="00863A18" w:rsidRPr="00923C59" w:rsidRDefault="00863A18" w:rsidP="00B23382">
            <w:pPr>
              <w:spacing w:before="20" w:after="20" w:line="276" w:lineRule="auto"/>
              <w:rPr>
                <w:rFonts w:ascii="Arial" w:hAnsi="Arial" w:cs="Arial"/>
              </w:rPr>
            </w:pPr>
            <w:r>
              <w:rPr>
                <w:rFonts w:ascii="Arial" w:eastAsia="Arial" w:hAnsi="Arial" w:cs="Arial"/>
              </w:rPr>
              <w:t>Influencia en decisiones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1E2A9" w14:textId="77777777" w:rsidR="00863A18" w:rsidRPr="00923C59" w:rsidRDefault="00863A18" w:rsidP="00B23382">
            <w:pPr>
              <w:spacing w:before="20" w:after="20" w:line="276" w:lineRule="auto"/>
              <w:rPr>
                <w:rFonts w:ascii="Arial" w:hAnsi="Arial" w:cs="Arial"/>
              </w:rPr>
            </w:pPr>
            <w:r>
              <w:rPr>
                <w:rFonts w:ascii="Arial" w:eastAsia="Arial" w:hAnsi="Arial" w:cs="Arial"/>
              </w:rPr>
              <w:t>Decisión autónoma sin supervisión</w:t>
            </w:r>
          </w:p>
        </w:tc>
      </w:tr>
      <w:tr w:rsidR="00863A18" w:rsidRPr="00923C59" w14:paraId="08BDA6A8"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BD7A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1E0B92" w14:textId="77777777" w:rsidR="00863A18" w:rsidRPr="00923C59" w:rsidRDefault="00863A18" w:rsidP="00B23382">
            <w:pPr>
              <w:spacing w:before="20" w:after="20" w:line="276" w:lineRule="auto"/>
              <w:rPr>
                <w:rFonts w:ascii="Arial" w:hAnsi="Arial" w:cs="Arial"/>
              </w:rPr>
            </w:pPr>
            <w:r>
              <w:rPr>
                <w:rFonts w:ascii="Arial" w:eastAsia="Arial" w:hAnsi="Arial" w:cs="Arial"/>
              </w:rPr>
              <w:t>Públicos / no sensibles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AEC651" w14:textId="77777777" w:rsidR="00863A18" w:rsidRPr="00923C59" w:rsidRDefault="00863A18" w:rsidP="00B23382">
            <w:pPr>
              <w:spacing w:before="20" w:after="20" w:line="276" w:lineRule="auto"/>
              <w:rPr>
                <w:rFonts w:ascii="Arial" w:hAnsi="Arial" w:cs="Arial"/>
              </w:rPr>
            </w:pPr>
            <w:r>
              <w:rPr>
                <w:rFonts w:ascii="Arial" w:eastAsia="Arial" w:hAnsi="Arial" w:cs="Arial"/>
              </w:rPr>
              <w:t>Generales de interacción</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FAE8F1" w14:textId="77777777" w:rsidR="00863A18" w:rsidRPr="00923C59" w:rsidRDefault="00863A18" w:rsidP="00B23382">
            <w:pPr>
              <w:spacing w:before="20" w:after="20" w:line="276" w:lineRule="auto"/>
              <w:rPr>
                <w:rFonts w:ascii="Arial" w:hAnsi="Arial" w:cs="Arial"/>
              </w:rPr>
            </w:pPr>
            <w:r>
              <w:rPr>
                <w:rFonts w:ascii="Arial" w:eastAsia="Arial" w:hAnsi="Arial" w:cs="Arial"/>
              </w:rPr>
              <w:t>Personales, reserva tributaria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74562" w14:textId="77777777" w:rsidR="00863A18" w:rsidRPr="00923C59" w:rsidRDefault="00863A18" w:rsidP="00B23382">
            <w:pPr>
              <w:spacing w:before="20" w:after="20" w:line="276" w:lineRule="auto"/>
              <w:rPr>
                <w:rFonts w:ascii="Arial" w:hAnsi="Arial" w:cs="Arial"/>
              </w:rPr>
            </w:pPr>
            <w:r>
              <w:rPr>
                <w:rFonts w:ascii="Arial" w:eastAsia="Arial" w:hAnsi="Arial" w:cs="Arial"/>
              </w:rPr>
              <w:t>Biométricos para inferir condiciones protegidas</w:t>
            </w:r>
          </w:p>
        </w:tc>
      </w:tr>
      <w:tr w:rsidR="00863A18" w:rsidRPr="00923C59" w14:paraId="3ABE4675"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F3DA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Reversibilidad</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DCA8C6" w14:textId="77777777" w:rsidR="00863A18" w:rsidRPr="00923C59" w:rsidRDefault="00863A18" w:rsidP="00B23382">
            <w:pPr>
              <w:spacing w:before="20" w:after="20" w:line="276" w:lineRule="auto"/>
              <w:rPr>
                <w:rFonts w:ascii="Arial" w:hAnsi="Arial" w:cs="Arial"/>
              </w:rPr>
            </w:pPr>
            <w:r>
              <w:rPr>
                <w:rFonts w:ascii="Arial" w:eastAsia="Arial" w:hAnsi="Arial" w:cs="Arial"/>
              </w:rPr>
              <w:t>Totalmente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4398DB" w14:textId="77777777" w:rsidR="00863A18" w:rsidRPr="00923C59" w:rsidRDefault="00863A18" w:rsidP="00B23382">
            <w:pPr>
              <w:spacing w:before="20" w:after="20" w:line="276" w:lineRule="auto"/>
              <w:rPr>
                <w:rFonts w:ascii="Arial" w:hAnsi="Arial" w:cs="Arial"/>
              </w:rPr>
            </w:pPr>
            <w:r>
              <w:rPr>
                <w:rFonts w:ascii="Arial" w:eastAsia="Arial" w:hAnsi="Arial" w:cs="Arial"/>
              </w:rPr>
              <w:t>Fácilmente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4BFD19" w14:textId="77777777" w:rsidR="00863A18" w:rsidRPr="00923C59" w:rsidRDefault="00863A18" w:rsidP="00B23382">
            <w:pPr>
              <w:spacing w:before="20" w:after="20" w:line="276" w:lineRule="auto"/>
              <w:rPr>
                <w:rFonts w:ascii="Arial" w:hAnsi="Arial" w:cs="Arial"/>
              </w:rPr>
            </w:pPr>
            <w:r>
              <w:rPr>
                <w:rFonts w:ascii="Arial" w:eastAsia="Arial" w:hAnsi="Arial" w:cs="Arial"/>
              </w:rPr>
              <w:t>Difícilmente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39855D" w14:textId="77777777" w:rsidR="00863A18" w:rsidRPr="00923C59" w:rsidRDefault="00863A18" w:rsidP="00B23382">
            <w:pPr>
              <w:spacing w:before="20" w:after="20" w:line="276" w:lineRule="auto"/>
              <w:rPr>
                <w:rFonts w:ascii="Arial" w:hAnsi="Arial" w:cs="Arial"/>
              </w:rPr>
            </w:pPr>
            <w:r>
              <w:rPr>
                <w:rFonts w:ascii="Arial" w:eastAsia="Arial" w:hAnsi="Arial" w:cs="Arial"/>
              </w:rPr>
              <w:t>Irreversible o daño grave</w:t>
            </w:r>
          </w:p>
        </w:tc>
      </w:tr>
      <w:tr w:rsidR="00863A18" w:rsidRPr="00923C59" w14:paraId="7590BC3A"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A1D22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Escala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78E89" w14:textId="77777777" w:rsidR="00863A18" w:rsidRPr="00923C59" w:rsidRDefault="00863A18" w:rsidP="00B23382">
            <w:pPr>
              <w:spacing w:before="20" w:after="20" w:line="276" w:lineRule="auto"/>
              <w:rPr>
                <w:rFonts w:ascii="Arial" w:hAnsi="Arial" w:cs="Arial"/>
              </w:rPr>
            </w:pPr>
            <w:r>
              <w:rPr>
                <w:rFonts w:ascii="Arial" w:eastAsia="Arial" w:hAnsi="Arial" w:cs="Arial"/>
              </w:rPr>
              <w:t>Individual, bajo volumen</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F40757" w14:textId="77777777" w:rsidR="00863A18" w:rsidRPr="00923C59" w:rsidRDefault="00863A18" w:rsidP="00B23382">
            <w:pPr>
              <w:spacing w:before="20" w:after="20" w:line="276" w:lineRule="auto"/>
              <w:rPr>
                <w:rFonts w:ascii="Arial" w:hAnsi="Arial" w:cs="Arial"/>
              </w:rPr>
            </w:pPr>
            <w:r>
              <w:rPr>
                <w:rFonts w:ascii="Arial" w:eastAsia="Arial" w:hAnsi="Arial" w:cs="Arial"/>
              </w:rPr>
              <w:t>Individual, volumen medio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CA922F" w14:textId="77777777" w:rsidR="00863A18" w:rsidRPr="00923C59" w:rsidRDefault="00863A18" w:rsidP="00B23382">
            <w:pPr>
              <w:spacing w:before="20" w:after="20" w:line="276" w:lineRule="auto"/>
              <w:rPr>
                <w:rFonts w:ascii="Arial" w:hAnsi="Arial" w:cs="Arial"/>
              </w:rPr>
            </w:pPr>
            <w:r>
              <w:rPr>
                <w:rFonts w:ascii="Arial" w:eastAsia="Arial" w:hAnsi="Arial" w:cs="Arial"/>
              </w:rPr>
              <w:t>Colectivo o masivo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56FF67" w14:textId="77777777" w:rsidR="00863A18" w:rsidRPr="00923C59" w:rsidRDefault="00863A18" w:rsidP="00B23382">
            <w:pPr>
              <w:spacing w:before="20" w:after="20" w:line="276" w:lineRule="auto"/>
              <w:rPr>
                <w:rFonts w:ascii="Arial" w:hAnsi="Arial" w:cs="Arial"/>
              </w:rPr>
            </w:pPr>
            <w:r>
              <w:rPr>
                <w:rFonts w:ascii="Arial" w:eastAsia="Arial" w:hAnsi="Arial" w:cs="Arial"/>
              </w:rPr>
              <w:t>Poblaciones completas o grupos vulnerables</w:t>
            </w:r>
          </w:p>
        </w:tc>
      </w:tr>
    </w:tbl>
    <w:p w14:paraId="4C91E48C" w14:textId="77777777" w:rsidR="00863A18" w:rsidRPr="00923C59" w:rsidRDefault="00863A18" w:rsidP="00B23382">
      <w:pPr>
        <w:spacing w:line="276" w:lineRule="auto"/>
        <w:rPr>
          <w:rFonts w:ascii="Arial" w:hAnsi="Arial" w:cs="Arial"/>
        </w:rPr>
      </w:pPr>
      <w:r>
        <w:rPr>
          <w:rFonts w:ascii="Arial" w:hAnsi="Arial" w:cs="Arial"/>
        </w:rPr>
        <w:br w:type="page"/>
      </w:r>
    </w:p>
    <w:p w14:paraId="13F9A2DB"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3: Estructura mínima de la EIA</w:t>
      </w:r>
    </w:p>
    <w:p w14:paraId="6AE976C9"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197EE4F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3421EF5B"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14E84EE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2F289DE9"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443EB5E2"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34D46875"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3B823A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5A3D6F2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01DDF3B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ADAED4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Cumplimiento normativo: Ley IA, Reglamento, protección de datos, reserva tributaria.</w:t>
      </w:r>
    </w:p>
    <w:p w14:paraId="7BCD68B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12369CCE"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542A556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Aprobaciones: firmas del propietario, la Comisión de Gobierno de IA, la OII e INALI.</w:t>
      </w:r>
    </w:p>
    <w:p w14:paraId="771AACE6" w14:textId="77777777" w:rsidR="00863A18" w:rsidRPr="00923C59" w:rsidRDefault="00863A18" w:rsidP="00B23382">
      <w:pPr>
        <w:spacing w:line="276" w:lineRule="auto"/>
        <w:rPr>
          <w:rFonts w:ascii="Arial" w:hAnsi="Arial" w:cs="Arial"/>
        </w:rPr>
      </w:pPr>
      <w:r>
        <w:rPr>
          <w:rFonts w:ascii="Arial" w:hAnsi="Arial" w:cs="Arial"/>
        </w:rPr>
        <w:br w:type="page"/>
      </w:r>
    </w:p>
    <w:p w14:paraId="5567F002" w14:textId="77777777" w:rsidR="00863A18" w:rsidRDefault="00863A18" w:rsidP="00B23382">
      <w:pPr>
        <w:spacing w:before="200" w:after="120" w:line="276" w:lineRule="auto"/>
        <w:rPr>
          <w:rFonts w:ascii="Arial" w:eastAsia="Arial" w:hAnsi="Arial" w:cs="Arial"/>
          <w:b/>
          <w:bCs/>
          <w:color w:val="000000"/>
        </w:rPr>
      </w:pPr>
      <w:r>
        <w:rPr>
          <w:rFonts w:ascii="Arial" w:eastAsia="Arial" w:hAnsi="Arial" w:cs="Arial"/>
          <w:b/>
          <w:bCs/>
          <w:color w:val="000000"/>
        </w:rPr>
        <w:lastRenderedPageBreak/>
        <w:t>Anexo N.° 4: Ficha de Evaluación de Caso de Uso de SBIA</w:t>
      </w:r>
    </w:p>
    <w:p w14:paraId="4E934914" w14:textId="5B0D16A5" w:rsidR="00174519" w:rsidRPr="00923C59" w:rsidRDefault="00174519" w:rsidP="00174519">
      <w:pPr>
        <w:spacing w:before="200" w:after="120" w:line="276" w:lineRule="auto"/>
        <w:jc w:val="both"/>
        <w:rPr>
          <w:rFonts w:ascii="Arial" w:hAnsi="Arial" w:cs="Arial"/>
        </w:rPr>
      </w:pPr>
      <w:r w:rsidRPr="00174519">
        <w:rPr>
          <w:rFonts w:ascii="Arial" w:hAnsi="Arial" w:cs="Arial"/>
          <w:highlight w:val="lightGray"/>
        </w:rPr>
        <w:t>Constituye el contenido mínimo de la evaluación del caso de uso y recoge los datos y las evidencias del problema que sustentan la iniciativa, conforme al numeral 28.4 del artículo 28 del RLIA. Se adecúa a la naturaleza y magnitud de la iniciativa, requerimiento o proyecto, conforme al numeral 6.15.1</w:t>
      </w:r>
      <w:r w:rsidRPr="00174519">
        <w:rPr>
          <w:rFonts w:ascii="Arial" w:hAnsi="Arial" w:cs="Arial"/>
        </w:rPr>
        <w:t>.</w:t>
      </w:r>
    </w:p>
    <w:p w14:paraId="0F6F71B1" w14:textId="77777777" w:rsidR="00863A18" w:rsidRPr="00923C59" w:rsidRDefault="00863A18" w:rsidP="00B23382">
      <w:pPr>
        <w:spacing w:after="40" w:line="276" w:lineRule="auto"/>
        <w:jc w:val="both"/>
        <w:rPr>
          <w:rFonts w:ascii="Arial" w:hAnsi="Arial" w:cs="Arial"/>
        </w:rPr>
      </w:pPr>
      <w:r>
        <w:rPr>
          <w:rFonts w:ascii="Arial" w:eastAsia="Arial" w:hAnsi="Arial" w:cs="Arial"/>
          <w:b/>
          <w:bCs/>
          <w:color w:val="000000"/>
        </w:rPr>
        <w:t>Sección 1 — Identificación:</w:t>
      </w:r>
    </w:p>
    <w:p w14:paraId="41695B88" w14:textId="77777777" w:rsidR="00863A18" w:rsidRPr="00923C59" w:rsidRDefault="00863A18">
      <w:pPr>
        <w:pStyle w:val="Prrafodelista"/>
        <w:numPr>
          <w:ilvl w:val="0"/>
          <w:numId w:val="7"/>
        </w:numPr>
        <w:spacing w:after="40" w:line="276" w:lineRule="auto"/>
        <w:rPr>
          <w:b w:val="0"/>
          <w:bCs w:val="0"/>
        </w:rPr>
      </w:pPr>
      <w:r>
        <w:rPr>
          <w:b w:val="0"/>
          <w:bCs w:val="0"/>
          <w:color w:val="000000"/>
        </w:rPr>
        <w:t>Denominación del caso de uso.</w:t>
      </w:r>
    </w:p>
    <w:p w14:paraId="01E94E25" w14:textId="77777777" w:rsidR="00863A18" w:rsidRPr="00923C59" w:rsidRDefault="00863A18">
      <w:pPr>
        <w:pStyle w:val="Prrafodelista"/>
        <w:numPr>
          <w:ilvl w:val="0"/>
          <w:numId w:val="7"/>
        </w:numPr>
        <w:spacing w:after="40" w:line="276" w:lineRule="auto"/>
        <w:rPr>
          <w:b w:val="0"/>
          <w:bCs w:val="0"/>
        </w:rPr>
      </w:pPr>
      <w:r>
        <w:rPr>
          <w:b w:val="0"/>
          <w:bCs w:val="0"/>
          <w:color w:val="000000"/>
        </w:rPr>
        <w:t>Unidad de organización solicitante (propietario del caso de uso).</w:t>
      </w:r>
    </w:p>
    <w:p w14:paraId="6E679DD5" w14:textId="77777777" w:rsidR="00863A18" w:rsidRPr="00923C59" w:rsidRDefault="00863A18">
      <w:pPr>
        <w:pStyle w:val="Prrafodelista"/>
        <w:numPr>
          <w:ilvl w:val="0"/>
          <w:numId w:val="7"/>
        </w:numPr>
        <w:spacing w:after="40" w:line="276" w:lineRule="auto"/>
        <w:rPr>
          <w:b w:val="0"/>
          <w:bCs w:val="0"/>
        </w:rPr>
      </w:pPr>
      <w:r>
        <w:rPr>
          <w:b w:val="0"/>
          <w:bCs w:val="0"/>
          <w:color w:val="000000"/>
        </w:rPr>
        <w:t>Responsable funcional (nombre, cargo, correo).</w:t>
      </w:r>
    </w:p>
    <w:p w14:paraId="181EDDA9" w14:textId="77777777" w:rsidR="00863A18" w:rsidRPr="00923C59" w:rsidRDefault="00863A18">
      <w:pPr>
        <w:pStyle w:val="Prrafodelista"/>
        <w:numPr>
          <w:ilvl w:val="0"/>
          <w:numId w:val="7"/>
        </w:numPr>
        <w:spacing w:after="40" w:line="276" w:lineRule="auto"/>
        <w:rPr>
          <w:b w:val="0"/>
          <w:bCs w:val="0"/>
        </w:rPr>
      </w:pPr>
      <w:r>
        <w:rPr>
          <w:b w:val="0"/>
          <w:bCs w:val="0"/>
          <w:color w:val="000000"/>
        </w:rPr>
        <w:t>Fecha de presentación.</w:t>
      </w:r>
    </w:p>
    <w:p w14:paraId="732A4860" w14:textId="77777777" w:rsidR="00863A18" w:rsidRPr="00923C59" w:rsidRDefault="00863A18" w:rsidP="00B23382">
      <w:pPr>
        <w:spacing w:before="120" w:after="40" w:line="276" w:lineRule="auto"/>
        <w:jc w:val="both"/>
        <w:rPr>
          <w:rFonts w:ascii="Arial" w:hAnsi="Arial" w:cs="Arial"/>
        </w:rPr>
      </w:pPr>
      <w:r>
        <w:rPr>
          <w:rFonts w:ascii="Arial" w:eastAsia="Arial" w:hAnsi="Arial" w:cs="Arial"/>
          <w:b/>
          <w:bCs/>
          <w:color w:val="000000"/>
        </w:rPr>
        <w:t>Sección 2 — Problema y justificación:</w:t>
      </w:r>
    </w:p>
    <w:p w14:paraId="38277C9E" w14:textId="77777777" w:rsidR="00863A18" w:rsidRPr="00923C59" w:rsidRDefault="00863A18">
      <w:pPr>
        <w:pStyle w:val="Prrafodelista"/>
        <w:numPr>
          <w:ilvl w:val="0"/>
          <w:numId w:val="7"/>
        </w:numPr>
        <w:spacing w:after="40" w:line="276" w:lineRule="auto"/>
        <w:rPr>
          <w:b w:val="0"/>
          <w:bCs w:val="0"/>
        </w:rPr>
      </w:pPr>
      <w:r>
        <w:rPr>
          <w:b w:val="0"/>
          <w:bCs w:val="0"/>
          <w:color w:val="000000"/>
        </w:rPr>
        <w:t>Descripción del problema o necesidad que se busca resolver.</w:t>
      </w:r>
    </w:p>
    <w:p w14:paraId="5DE4890C" w14:textId="77777777" w:rsidR="00863A18" w:rsidRPr="00923C59" w:rsidRDefault="00863A18">
      <w:pPr>
        <w:pStyle w:val="Prrafodelista"/>
        <w:numPr>
          <w:ilvl w:val="0"/>
          <w:numId w:val="7"/>
        </w:numPr>
        <w:spacing w:after="40" w:line="276" w:lineRule="auto"/>
        <w:rPr>
          <w:b w:val="0"/>
          <w:bCs w:val="0"/>
        </w:rPr>
      </w:pPr>
      <w:r>
        <w:rPr>
          <w:b w:val="0"/>
          <w:bCs w:val="0"/>
          <w:color w:val="000000"/>
        </w:rPr>
        <w:t>Situación actual (línea base): volumen de operaciones, tiempo promedio, recursos asignados.</w:t>
      </w:r>
    </w:p>
    <w:p w14:paraId="236A6E6C" w14:textId="77777777" w:rsidR="00863A18" w:rsidRPr="00923C59" w:rsidRDefault="00863A18">
      <w:pPr>
        <w:pStyle w:val="Prrafodelista"/>
        <w:numPr>
          <w:ilvl w:val="0"/>
          <w:numId w:val="7"/>
        </w:numPr>
        <w:spacing w:after="40" w:line="276" w:lineRule="auto"/>
        <w:rPr>
          <w:b w:val="0"/>
          <w:bCs w:val="0"/>
        </w:rPr>
      </w:pPr>
      <w:r>
        <w:rPr>
          <w:b w:val="0"/>
          <w:bCs w:val="0"/>
          <w:color w:val="000000"/>
        </w:rPr>
        <w:t>Objetivo estratégico del PEI con el que se alinea (código y denominación).</w:t>
      </w:r>
    </w:p>
    <w:p w14:paraId="451AEFA3"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3 — Impacto organizacional:</w:t>
      </w:r>
    </w:p>
    <w:p w14:paraId="35682837" w14:textId="77777777" w:rsidR="0018147B" w:rsidRDefault="00000000">
      <w:pPr>
        <w:pStyle w:val="Prrafodelista"/>
        <w:numPr>
          <w:ilvl w:val="0"/>
          <w:numId w:val="7"/>
        </w:numPr>
        <w:spacing w:after="40" w:line="276" w:lineRule="auto"/>
        <w:rPr>
          <w:b w:val="0"/>
          <w:bCs w:val="0"/>
        </w:rPr>
      </w:pPr>
      <w:r>
        <w:rPr>
          <w:b w:val="0"/>
          <w:bCs w:val="0"/>
          <w:color w:val="000000"/>
          <w:highlight w:val="yellow"/>
        </w:rPr>
        <w:t>Precisar si la iniciativa genera impacto organizacional e identificar los procesos, áreas, puestos, personas y capacidades técnicas involucrados.</w:t>
      </w:r>
    </w:p>
    <w:p w14:paraId="77DBA450"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4 — Generación de valor:</w:t>
      </w:r>
    </w:p>
    <w:p w14:paraId="403B8534" w14:textId="77777777" w:rsidR="00863A18" w:rsidRPr="00923C59" w:rsidRDefault="00863A18">
      <w:pPr>
        <w:pStyle w:val="Prrafodelista"/>
        <w:numPr>
          <w:ilvl w:val="0"/>
          <w:numId w:val="7"/>
        </w:numPr>
        <w:spacing w:after="40" w:line="276" w:lineRule="auto"/>
        <w:rPr>
          <w:b w:val="0"/>
          <w:bCs w:val="0"/>
        </w:rPr>
      </w:pPr>
      <w:r>
        <w:rPr>
          <w:b w:val="0"/>
          <w:bCs w:val="0"/>
          <w:color w:val="000000"/>
        </w:rPr>
        <w:t>Beneficio esperado cuantificado: horas-persona liberadas, reducción de tiempos de proceso, mejora en tasas de detección, incremento de recaudación estimada u otro indicador medible.</w:t>
      </w:r>
    </w:p>
    <w:p w14:paraId="4671E459" w14:textId="77777777" w:rsidR="00863A18" w:rsidRPr="00923C59" w:rsidRDefault="00863A18">
      <w:pPr>
        <w:pStyle w:val="Prrafodelista"/>
        <w:numPr>
          <w:ilvl w:val="0"/>
          <w:numId w:val="7"/>
        </w:numPr>
        <w:spacing w:after="40" w:line="276" w:lineRule="auto"/>
        <w:rPr>
          <w:b w:val="0"/>
          <w:bCs w:val="0"/>
        </w:rPr>
      </w:pPr>
      <w:r>
        <w:rPr>
          <w:b w:val="0"/>
          <w:bCs w:val="0"/>
          <w:color w:val="000000"/>
        </w:rPr>
        <w:t>Beneficios cualitativos complementarios (si aplica).</w:t>
      </w:r>
    </w:p>
    <w:p w14:paraId="1A51F69D" w14:textId="77777777" w:rsidR="0018147B" w:rsidRDefault="00000000">
      <w:pPr>
        <w:pStyle w:val="Prrafodelista"/>
        <w:numPr>
          <w:ilvl w:val="0"/>
          <w:numId w:val="7"/>
        </w:numPr>
        <w:spacing w:after="40" w:line="276" w:lineRule="auto"/>
        <w:rPr>
          <w:b w:val="0"/>
          <w:bCs w:val="0"/>
        </w:rPr>
      </w:pPr>
      <w:r>
        <w:rPr>
          <w:b w:val="0"/>
          <w:bCs w:val="0"/>
          <w:color w:val="000000"/>
          <w:highlight w:val="yellow"/>
        </w:rPr>
        <w:t>El beneficio puede sustentarse a nivel de un conjunto o programa de SBIA cuando la iniciativa forme parte de un portafolio institucional.</w:t>
      </w:r>
    </w:p>
    <w:p w14:paraId="556E9510" w14:textId="77777777" w:rsidR="00863A18" w:rsidRPr="00923C59" w:rsidRDefault="00863A18">
      <w:pPr>
        <w:pStyle w:val="Prrafodelista"/>
        <w:numPr>
          <w:ilvl w:val="0"/>
          <w:numId w:val="7"/>
        </w:numPr>
        <w:spacing w:after="40" w:line="276" w:lineRule="auto"/>
        <w:rPr>
          <w:b w:val="0"/>
          <w:bCs w:val="0"/>
        </w:rPr>
      </w:pPr>
      <w:r>
        <w:rPr>
          <w:b w:val="0"/>
          <w:bCs w:val="0"/>
          <w:color w:val="000000"/>
        </w:rPr>
        <w:t>Métrica de éxito propuesta y plazo de medición.</w:t>
      </w:r>
    </w:p>
    <w:p w14:paraId="0E597137"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5 — Inversión y sostenibilidad:</w:t>
      </w:r>
    </w:p>
    <w:p w14:paraId="1858FBC3" w14:textId="77777777" w:rsidR="00863A18" w:rsidRPr="00923C59" w:rsidRDefault="00863A18">
      <w:pPr>
        <w:pStyle w:val="Prrafodelista"/>
        <w:numPr>
          <w:ilvl w:val="0"/>
          <w:numId w:val="7"/>
        </w:numPr>
        <w:spacing w:after="40" w:line="276" w:lineRule="auto"/>
        <w:rPr>
          <w:b w:val="0"/>
          <w:bCs w:val="0"/>
        </w:rPr>
      </w:pPr>
      <w:r>
        <w:rPr>
          <w:b w:val="0"/>
          <w:bCs w:val="0"/>
          <w:color w:val="000000"/>
        </w:rPr>
        <w:t>Estimación de inversión inicial (infraestructura, licencias, servicios, horas de desarrollo</w:t>
      </w:r>
      <w:r>
        <w:rPr>
          <w:b w:val="0"/>
          <w:bCs w:val="0"/>
          <w:highlight w:val="cyan"/>
        </w:rPr>
        <w:t>/servicios de desarrollo).</w:t>
      </w:r>
    </w:p>
    <w:p w14:paraId="28BF24D5" w14:textId="77777777" w:rsidR="00863A18" w:rsidRPr="00923C59" w:rsidRDefault="00863A18">
      <w:pPr>
        <w:pStyle w:val="Prrafodelista"/>
        <w:numPr>
          <w:ilvl w:val="0"/>
          <w:numId w:val="7"/>
        </w:numPr>
        <w:spacing w:after="40" w:line="276" w:lineRule="auto"/>
        <w:rPr>
          <w:b w:val="0"/>
          <w:bCs w:val="0"/>
        </w:rPr>
      </w:pPr>
      <w:r>
        <w:rPr>
          <w:b w:val="0"/>
          <w:bCs w:val="0"/>
          <w:color w:val="000000"/>
        </w:rPr>
        <w:t>Estimación de costos recurrentes anuales (operación, mantenimiento, licencias, personal dedicado).</w:t>
      </w:r>
    </w:p>
    <w:p w14:paraId="47F4D3AC" w14:textId="77777777" w:rsidR="00863A18" w:rsidRPr="00923C59" w:rsidRDefault="00863A18">
      <w:pPr>
        <w:pStyle w:val="Prrafodelista"/>
        <w:numPr>
          <w:ilvl w:val="0"/>
          <w:numId w:val="7"/>
        </w:numPr>
        <w:spacing w:after="40" w:line="276" w:lineRule="auto"/>
        <w:rPr>
          <w:b w:val="0"/>
          <w:bCs w:val="0"/>
        </w:rPr>
      </w:pPr>
      <w:r>
        <w:rPr>
          <w:b w:val="0"/>
          <w:bCs w:val="0"/>
          <w:color w:val="000000"/>
        </w:rPr>
        <w:t>Fuente de financiamiento identificada.</w:t>
      </w:r>
    </w:p>
    <w:p w14:paraId="16695497" w14:textId="77777777" w:rsidR="00863A18" w:rsidRPr="00923C59" w:rsidRDefault="00863A18">
      <w:pPr>
        <w:pStyle w:val="Prrafodelista"/>
        <w:numPr>
          <w:ilvl w:val="0"/>
          <w:numId w:val="7"/>
        </w:numPr>
        <w:spacing w:after="40" w:line="276" w:lineRule="auto"/>
        <w:rPr>
          <w:b w:val="0"/>
          <w:bCs w:val="0"/>
        </w:rPr>
      </w:pPr>
      <w:r>
        <w:rPr>
          <w:b w:val="0"/>
          <w:bCs w:val="0"/>
          <w:color w:val="000000"/>
        </w:rPr>
        <w:t>Responsable de la operación y mantenimiento post-despliegue.</w:t>
      </w:r>
    </w:p>
    <w:p w14:paraId="61DED5EF"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6 — Análisis de alternativas:</w:t>
      </w:r>
    </w:p>
    <w:p w14:paraId="3CC20AB1" w14:textId="77777777" w:rsidR="00863A18" w:rsidRPr="00923C59" w:rsidRDefault="00863A18">
      <w:pPr>
        <w:pStyle w:val="Prrafodelista"/>
        <w:numPr>
          <w:ilvl w:val="0"/>
          <w:numId w:val="7"/>
        </w:numPr>
        <w:spacing w:after="40" w:line="276" w:lineRule="auto"/>
        <w:rPr>
          <w:b w:val="0"/>
          <w:bCs w:val="0"/>
        </w:rPr>
      </w:pPr>
      <w:r>
        <w:rPr>
          <w:b w:val="0"/>
          <w:bCs w:val="0"/>
          <w:color w:val="000000"/>
        </w:rPr>
        <w:t>¿Se evaluaron soluciones que no requieren IA? Describir.</w:t>
      </w:r>
    </w:p>
    <w:p w14:paraId="7B20EC1C" w14:textId="77777777" w:rsidR="00863A18" w:rsidRPr="00923C59" w:rsidRDefault="00863A18">
      <w:pPr>
        <w:pStyle w:val="Prrafodelista"/>
        <w:numPr>
          <w:ilvl w:val="0"/>
          <w:numId w:val="7"/>
        </w:numPr>
        <w:spacing w:after="40" w:line="276" w:lineRule="auto"/>
        <w:rPr>
          <w:b w:val="0"/>
          <w:bCs w:val="0"/>
        </w:rPr>
      </w:pPr>
      <w:r>
        <w:rPr>
          <w:b w:val="0"/>
          <w:bCs w:val="0"/>
          <w:color w:val="000000"/>
        </w:rPr>
        <w:t>Justificación de por qué una solución basada en IA es preferible frente a las alternativas.</w:t>
      </w:r>
    </w:p>
    <w:p w14:paraId="390ED6C6"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lastRenderedPageBreak/>
        <w:t>Sección 7 — Datos y riesgos preliminares:</w:t>
      </w:r>
    </w:p>
    <w:p w14:paraId="0952334A" w14:textId="77777777" w:rsidR="00863A18" w:rsidRPr="00923C59" w:rsidRDefault="00863A18">
      <w:pPr>
        <w:pStyle w:val="Prrafodelista"/>
        <w:numPr>
          <w:ilvl w:val="0"/>
          <w:numId w:val="7"/>
        </w:numPr>
        <w:spacing w:after="40" w:line="276" w:lineRule="auto"/>
        <w:rPr>
          <w:b w:val="0"/>
          <w:bCs w:val="0"/>
        </w:rPr>
      </w:pPr>
      <w:r>
        <w:rPr>
          <w:b w:val="0"/>
          <w:bCs w:val="0"/>
          <w:color w:val="000000"/>
        </w:rPr>
        <w:t>Datos requeridos (fuentes, tipos, presencia de datos personales o reserva tributaria).</w:t>
      </w:r>
    </w:p>
    <w:p w14:paraId="31864AB1" w14:textId="77777777" w:rsidR="00863A18" w:rsidRPr="00923C59" w:rsidRDefault="00863A18">
      <w:pPr>
        <w:pStyle w:val="Prrafodelista"/>
        <w:numPr>
          <w:ilvl w:val="0"/>
          <w:numId w:val="7"/>
        </w:numPr>
        <w:spacing w:after="40" w:line="276" w:lineRule="auto"/>
        <w:rPr>
          <w:b w:val="0"/>
          <w:bCs w:val="0"/>
        </w:rPr>
      </w:pPr>
      <w:r>
        <w:rPr>
          <w:b w:val="0"/>
          <w:bCs w:val="0"/>
          <w:color w:val="000000"/>
        </w:rPr>
        <w:t>Riesgos preliminares identificados.</w:t>
      </w:r>
    </w:p>
    <w:p w14:paraId="07EC339C" w14:textId="77777777" w:rsidR="00863A18" w:rsidRPr="00923C59" w:rsidRDefault="00863A18">
      <w:pPr>
        <w:pStyle w:val="Prrafodelista"/>
        <w:numPr>
          <w:ilvl w:val="0"/>
          <w:numId w:val="7"/>
        </w:numPr>
        <w:spacing w:after="40" w:line="276" w:lineRule="auto"/>
        <w:rPr>
          <w:b w:val="0"/>
          <w:bCs w:val="0"/>
        </w:rPr>
      </w:pPr>
      <w:r>
        <w:rPr>
          <w:b w:val="0"/>
          <w:bCs w:val="0"/>
          <w:color w:val="000000"/>
        </w:rPr>
        <w:t>Clasificación de riesgo preliminar sugerida por el propietario.</w:t>
      </w:r>
    </w:p>
    <w:p w14:paraId="0B8489D8"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8 — Firmas:</w:t>
      </w:r>
    </w:p>
    <w:p w14:paraId="76A8D059" w14:textId="77777777" w:rsidR="00863A18" w:rsidRPr="00923C59" w:rsidRDefault="00863A18">
      <w:pPr>
        <w:pStyle w:val="Prrafodelista"/>
        <w:numPr>
          <w:ilvl w:val="0"/>
          <w:numId w:val="7"/>
        </w:numPr>
        <w:spacing w:after="40" w:line="276" w:lineRule="auto"/>
        <w:rPr>
          <w:b w:val="0"/>
          <w:bCs w:val="0"/>
        </w:rPr>
      </w:pPr>
      <w:r>
        <w:rPr>
          <w:b w:val="0"/>
          <w:bCs w:val="0"/>
          <w:color w:val="000000"/>
        </w:rPr>
        <w:t>Firma del propietario del caso de uso.</w:t>
      </w:r>
    </w:p>
    <w:p w14:paraId="454DDEF7" w14:textId="77777777" w:rsidR="00863A18" w:rsidRPr="00923C59" w:rsidRDefault="00863A18">
      <w:pPr>
        <w:pStyle w:val="Prrafodelista"/>
        <w:numPr>
          <w:ilvl w:val="0"/>
          <w:numId w:val="7"/>
        </w:numPr>
        <w:spacing w:after="40" w:line="276" w:lineRule="auto"/>
      </w:pPr>
      <w:r>
        <w:rPr>
          <w:b w:val="0"/>
          <w:bCs w:val="0"/>
          <w:color w:val="000000"/>
        </w:rPr>
        <w:t>Visto bueno del Intendente de la unidad solicitante.</w:t>
      </w:r>
    </w:p>
    <w:p w14:paraId="576F94A7" w14:textId="77777777" w:rsidR="00ED2DC8" w:rsidRPr="00923C59" w:rsidRDefault="00ED2DC8" w:rsidP="00B23382">
      <w:pPr>
        <w:spacing w:after="0" w:line="276" w:lineRule="auto"/>
        <w:rPr>
          <w:rFonts w:ascii="Arial" w:hAnsi="Arial" w:cs="Arial"/>
        </w:rPr>
      </w:pPr>
    </w:p>
    <w:sectPr w:rsidR="00ED2DC8" w:rsidRPr="00923C59" w:rsidSect="00603B7D">
      <w:headerReference w:type="default" r:id="rId16"/>
      <w:footerReference w:type="default" r:id="rId17"/>
      <w:pgSz w:w="11906" w:h="16838"/>
      <w:pgMar w:top="1701" w:right="1418" w:bottom="1701" w:left="156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Kut Castro Mario Fernando" w:date="2026-07-21T11:30:00Z" w:initials="MK">
    <w:p w14:paraId="3C0FED1C" w14:textId="77777777" w:rsidR="00DE41F6" w:rsidRDefault="00DE41F6" w:rsidP="00DE41F6">
      <w:pPr>
        <w:pStyle w:val="Textocomentario"/>
      </w:pPr>
      <w:r>
        <w:rPr>
          <w:rStyle w:val="Refdecomentario"/>
        </w:rPr>
        <w:annotationRef/>
      </w:r>
      <w:r>
        <w:t xml:space="preserve">Revisar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C0FED1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387E4DA" w16cex:dateUtc="2026-07-21T16: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C0FED1C" w16cid:durableId="6387E4D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A3A2FA" w14:textId="77777777" w:rsidR="007536D0" w:rsidRDefault="007536D0">
      <w:pPr>
        <w:spacing w:after="0" w:line="240" w:lineRule="auto"/>
      </w:pPr>
      <w:r>
        <w:separator/>
      </w:r>
    </w:p>
  </w:endnote>
  <w:endnote w:type="continuationSeparator" w:id="0">
    <w:p w14:paraId="5FE8AC7F" w14:textId="77777777" w:rsidR="007536D0" w:rsidRDefault="007536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44DF2"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D17C96" w14:textId="77777777" w:rsidR="007536D0" w:rsidRDefault="007536D0">
      <w:pPr>
        <w:spacing w:after="0" w:line="240" w:lineRule="auto"/>
      </w:pPr>
      <w:r>
        <w:separator/>
      </w:r>
    </w:p>
  </w:footnote>
  <w:footnote w:type="continuationSeparator" w:id="0">
    <w:p w14:paraId="67C5DCA6" w14:textId="77777777" w:rsidR="007536D0" w:rsidRDefault="007536D0">
      <w:pPr>
        <w:spacing w:after="0" w:line="240" w:lineRule="auto"/>
      </w:pPr>
      <w:r>
        <w:continuationSeparator/>
      </w:r>
    </w:p>
  </w:footnote>
  <w:footnote w:id="1">
    <w:p w14:paraId="4793C922" w14:textId="77777777" w:rsidR="00594919" w:rsidRDefault="00000000">
      <w:pPr>
        <w:pStyle w:val="Textonotapie"/>
      </w:pPr>
      <w:r>
        <w:rPr>
          <w:rStyle w:val="Refdenotaalpie"/>
        </w:rPr>
        <w:footnoteRef/>
      </w:r>
      <w:r>
        <w:rPr>
          <w:rFonts w:ascii="Arial" w:hAnsi="Arial" w:cs="Arial"/>
        </w:rPr>
        <w:t xml:space="preserve"> Numeral 30.1 del artículo 30 del RLIA.</w:t>
      </w:r>
    </w:p>
  </w:footnote>
  <w:footnote w:id="2">
    <w:p w14:paraId="0B97E86F"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3">
    <w:p w14:paraId="5DBC9DF3" w14:textId="77777777" w:rsidR="00594919" w:rsidRDefault="00000000">
      <w:pPr>
        <w:pStyle w:val="Textonotapie"/>
      </w:pPr>
      <w:r>
        <w:rPr>
          <w:rStyle w:val="Refdenotaalpie"/>
        </w:rPr>
        <w:footnoteRef/>
      </w:r>
      <w:r>
        <w:rPr>
          <w:rFonts w:ascii="Arial" w:hAnsi="Arial" w:cs="Arial"/>
        </w:rPr>
        <w:t xml:space="preserve"> En particular, el numeral 28.6 del artículo 28 del RLIA.</w:t>
      </w:r>
    </w:p>
  </w:footnote>
  <w:footnote w:id="4">
    <w:p w14:paraId="280452E3"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5">
    <w:p w14:paraId="48EC9F9D"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6">
    <w:p w14:paraId="38B41903"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7">
    <w:p w14:paraId="70304CC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8">
    <w:p w14:paraId="07FF1D9B"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9">
    <w:p w14:paraId="611F8193"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10">
    <w:p w14:paraId="10BABC12"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11">
    <w:p w14:paraId="66CDC5F2"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2">
    <w:p w14:paraId="7F2FB2B9" w14:textId="77777777" w:rsidR="00594919" w:rsidRDefault="00000000">
      <w:pPr>
        <w:pStyle w:val="Textonotapie"/>
      </w:pPr>
      <w:r>
        <w:rPr>
          <w:rStyle w:val="Refdenotaalpie"/>
        </w:rPr>
        <w:footnoteRef/>
      </w:r>
      <w:r>
        <w:rPr>
          <w:rFonts w:ascii="Arial" w:hAnsi="Arial" w:cs="Arial"/>
        </w:rPr>
        <w:t xml:space="preserve"> Responsabilidad prevista en el numeral 9.3 del artículo 9 del RLIA.</w:t>
      </w:r>
    </w:p>
  </w:footnote>
  <w:footnote w:id="13">
    <w:p w14:paraId="63E84CEE"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4">
    <w:p w14:paraId="61DC2BB0"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5">
    <w:p w14:paraId="5684E7FC" w14:textId="77777777" w:rsidR="00594919" w:rsidRDefault="00000000">
      <w:pPr>
        <w:pStyle w:val="Textonotapie"/>
      </w:pPr>
      <w:r>
        <w:rPr>
          <w:rStyle w:val="Refdenotaalpie"/>
        </w:rPr>
        <w:footnoteRef/>
      </w:r>
      <w:r>
        <w:rPr>
          <w:rFonts w:ascii="Arial" w:hAnsi="Arial" w:cs="Arial"/>
        </w:rPr>
        <w:t xml:space="preserve"> Numeral 28.9 del artículo 28 del RLIA.</w:t>
      </w:r>
    </w:p>
  </w:footnote>
  <w:footnote w:id="16">
    <w:p w14:paraId="43C4A1B6"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79E358ED" w14:textId="77777777" w:rsidTr="00BE16A3">
      <w:trPr>
        <w:trHeight w:val="474"/>
        <w:jc w:val="right"/>
      </w:trPr>
      <w:tc>
        <w:tcPr>
          <w:tcW w:w="4492" w:type="pct"/>
          <w:tcBorders>
            <w:right w:val="single" w:sz="6" w:space="0" w:color="000000"/>
          </w:tcBorders>
        </w:tcPr>
        <w:p w14:paraId="56CE6EB2"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48798B57"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1D77183"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3"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4"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6"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0"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1"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2"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3"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15" w15:restartNumberingAfterBreak="0">
    <w:nsid w:val="65D30CFE"/>
    <w:multiLevelType w:val="hybridMultilevel"/>
    <w:tmpl w:val="35882B12"/>
    <w:lvl w:ilvl="0" w:tplc="280A0019">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1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1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5"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14"/>
  </w:num>
  <w:num w:numId="2" w16cid:durableId="997340142">
    <w:abstractNumId w:val="2"/>
  </w:num>
  <w:num w:numId="3" w16cid:durableId="818888625">
    <w:abstractNumId w:val="10"/>
  </w:num>
  <w:num w:numId="4" w16cid:durableId="789980796">
    <w:abstractNumId w:val="11"/>
  </w:num>
  <w:num w:numId="5" w16cid:durableId="2135756204">
    <w:abstractNumId w:val="3"/>
  </w:num>
  <w:num w:numId="6" w16cid:durableId="1603613276">
    <w:abstractNumId w:val="5"/>
  </w:num>
  <w:num w:numId="7" w16cid:durableId="1698236715">
    <w:abstractNumId w:val="23"/>
  </w:num>
  <w:num w:numId="8" w16cid:durableId="1567180075">
    <w:abstractNumId w:val="25"/>
  </w:num>
  <w:num w:numId="9" w16cid:durableId="260988981">
    <w:abstractNumId w:val="18"/>
  </w:num>
  <w:num w:numId="10" w16cid:durableId="360321617">
    <w:abstractNumId w:val="12"/>
  </w:num>
  <w:num w:numId="11" w16cid:durableId="11301047">
    <w:abstractNumId w:val="17"/>
  </w:num>
  <w:num w:numId="12" w16cid:durableId="104814016">
    <w:abstractNumId w:val="20"/>
  </w:num>
  <w:num w:numId="13" w16cid:durableId="1885175596">
    <w:abstractNumId w:val="0"/>
  </w:num>
  <w:num w:numId="14" w16cid:durableId="167066823">
    <w:abstractNumId w:val="21"/>
  </w:num>
  <w:num w:numId="15" w16cid:durableId="954553902">
    <w:abstractNumId w:val="19"/>
  </w:num>
  <w:num w:numId="16" w16cid:durableId="1324506319">
    <w:abstractNumId w:val="8"/>
  </w:num>
  <w:num w:numId="17" w16cid:durableId="1839225738">
    <w:abstractNumId w:val="24"/>
  </w:num>
  <w:num w:numId="18" w16cid:durableId="267396013">
    <w:abstractNumId w:val="13"/>
  </w:num>
  <w:num w:numId="19" w16cid:durableId="1228301004">
    <w:abstractNumId w:val="15"/>
  </w:num>
  <w:num w:numId="20" w16cid:durableId="554125780">
    <w:abstractNumId w:val="6"/>
  </w:num>
  <w:num w:numId="21" w16cid:durableId="1964574287">
    <w:abstractNumId w:val="9"/>
  </w:num>
  <w:num w:numId="22" w16cid:durableId="1868059492">
    <w:abstractNumId w:val="16"/>
  </w:num>
  <w:num w:numId="23" w16cid:durableId="529534098">
    <w:abstractNumId w:val="1"/>
  </w:num>
  <w:num w:numId="24" w16cid:durableId="1828084485">
    <w:abstractNumId w:val="7"/>
  </w:num>
  <w:num w:numId="25" w16cid:durableId="1934242185">
    <w:abstractNumId w:val="4"/>
  </w:num>
  <w:num w:numId="26" w16cid:durableId="1799032513">
    <w:abstractNumId w:val="22"/>
  </w:num>
  <w:numIdMacAtCleanup w:val="2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ut Castro Mario Fernando">
    <w15:presenceInfo w15:providerId="AD" w15:userId="S::mkutc@sunat.gob.pe::7f4a71c1-9edb-4217-8bf6-fb9d10e7d9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4"/>
  <w:displayBackgroundShape/>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6CDE"/>
    <w:rsid w:val="00013D8E"/>
    <w:rsid w:val="000153F0"/>
    <w:rsid w:val="00025734"/>
    <w:rsid w:val="00026A41"/>
    <w:rsid w:val="000365E0"/>
    <w:rsid w:val="00047728"/>
    <w:rsid w:val="000B6CAE"/>
    <w:rsid w:val="000C43E2"/>
    <w:rsid w:val="000E4C2C"/>
    <w:rsid w:val="000E5B6B"/>
    <w:rsid w:val="000E7544"/>
    <w:rsid w:val="001164EE"/>
    <w:rsid w:val="00141E9A"/>
    <w:rsid w:val="001437F1"/>
    <w:rsid w:val="00153C2B"/>
    <w:rsid w:val="001609F8"/>
    <w:rsid w:val="00164552"/>
    <w:rsid w:val="00166F8B"/>
    <w:rsid w:val="00174519"/>
    <w:rsid w:val="0018147B"/>
    <w:rsid w:val="0018222F"/>
    <w:rsid w:val="001B791A"/>
    <w:rsid w:val="001C5C4D"/>
    <w:rsid w:val="001D0B85"/>
    <w:rsid w:val="001F16B0"/>
    <w:rsid w:val="00206379"/>
    <w:rsid w:val="002102ED"/>
    <w:rsid w:val="00215BA9"/>
    <w:rsid w:val="002222E3"/>
    <w:rsid w:val="00272134"/>
    <w:rsid w:val="002950F6"/>
    <w:rsid w:val="002A5658"/>
    <w:rsid w:val="002D136C"/>
    <w:rsid w:val="002D4E18"/>
    <w:rsid w:val="003071B9"/>
    <w:rsid w:val="003204D8"/>
    <w:rsid w:val="00325777"/>
    <w:rsid w:val="00325F1C"/>
    <w:rsid w:val="00326739"/>
    <w:rsid w:val="003325F7"/>
    <w:rsid w:val="003327C9"/>
    <w:rsid w:val="0033689D"/>
    <w:rsid w:val="00344C8A"/>
    <w:rsid w:val="003530CE"/>
    <w:rsid w:val="003636BC"/>
    <w:rsid w:val="003665C6"/>
    <w:rsid w:val="003922D5"/>
    <w:rsid w:val="003A6AB9"/>
    <w:rsid w:val="003B242A"/>
    <w:rsid w:val="003B6E7C"/>
    <w:rsid w:val="003B7D61"/>
    <w:rsid w:val="003C1E3F"/>
    <w:rsid w:val="003E4730"/>
    <w:rsid w:val="003F591A"/>
    <w:rsid w:val="00444444"/>
    <w:rsid w:val="004503ED"/>
    <w:rsid w:val="00462A57"/>
    <w:rsid w:val="00463CDC"/>
    <w:rsid w:val="00467C46"/>
    <w:rsid w:val="0047575A"/>
    <w:rsid w:val="004A50A6"/>
    <w:rsid w:val="004A6881"/>
    <w:rsid w:val="004B3330"/>
    <w:rsid w:val="004C17C6"/>
    <w:rsid w:val="004C4F5D"/>
    <w:rsid w:val="004C7B15"/>
    <w:rsid w:val="004D01A4"/>
    <w:rsid w:val="004E204E"/>
    <w:rsid w:val="004F49BB"/>
    <w:rsid w:val="00502E18"/>
    <w:rsid w:val="0050738A"/>
    <w:rsid w:val="00512CEC"/>
    <w:rsid w:val="00521B40"/>
    <w:rsid w:val="00532CB5"/>
    <w:rsid w:val="00535686"/>
    <w:rsid w:val="00537E02"/>
    <w:rsid w:val="00567C78"/>
    <w:rsid w:val="00570612"/>
    <w:rsid w:val="00594919"/>
    <w:rsid w:val="005B30EE"/>
    <w:rsid w:val="005C3A70"/>
    <w:rsid w:val="005C4042"/>
    <w:rsid w:val="005C67EA"/>
    <w:rsid w:val="005D5880"/>
    <w:rsid w:val="005D754C"/>
    <w:rsid w:val="005F24C2"/>
    <w:rsid w:val="005F3265"/>
    <w:rsid w:val="0060099A"/>
    <w:rsid w:val="00603B7D"/>
    <w:rsid w:val="0065257C"/>
    <w:rsid w:val="00662A54"/>
    <w:rsid w:val="006653DD"/>
    <w:rsid w:val="00665F3F"/>
    <w:rsid w:val="00670027"/>
    <w:rsid w:val="00677324"/>
    <w:rsid w:val="006806C8"/>
    <w:rsid w:val="00682244"/>
    <w:rsid w:val="00691FB4"/>
    <w:rsid w:val="00697B72"/>
    <w:rsid w:val="006B3AF5"/>
    <w:rsid w:val="006B4241"/>
    <w:rsid w:val="006C344B"/>
    <w:rsid w:val="00714044"/>
    <w:rsid w:val="00722166"/>
    <w:rsid w:val="007324DC"/>
    <w:rsid w:val="0075082A"/>
    <w:rsid w:val="007536D0"/>
    <w:rsid w:val="00771AB8"/>
    <w:rsid w:val="007808CA"/>
    <w:rsid w:val="007C4F40"/>
    <w:rsid w:val="007D181A"/>
    <w:rsid w:val="0080359D"/>
    <w:rsid w:val="00807C98"/>
    <w:rsid w:val="0081311B"/>
    <w:rsid w:val="00814A4B"/>
    <w:rsid w:val="008326EA"/>
    <w:rsid w:val="00833450"/>
    <w:rsid w:val="00833CDE"/>
    <w:rsid w:val="00836DA1"/>
    <w:rsid w:val="0084436F"/>
    <w:rsid w:val="008540A5"/>
    <w:rsid w:val="00863A18"/>
    <w:rsid w:val="0087077E"/>
    <w:rsid w:val="008A143D"/>
    <w:rsid w:val="008B010D"/>
    <w:rsid w:val="008B4A51"/>
    <w:rsid w:val="008D0FF0"/>
    <w:rsid w:val="008D42AD"/>
    <w:rsid w:val="008D444A"/>
    <w:rsid w:val="008E1026"/>
    <w:rsid w:val="008E72B6"/>
    <w:rsid w:val="008F1147"/>
    <w:rsid w:val="00911E71"/>
    <w:rsid w:val="00923C59"/>
    <w:rsid w:val="00926244"/>
    <w:rsid w:val="00931E16"/>
    <w:rsid w:val="009326E3"/>
    <w:rsid w:val="00937598"/>
    <w:rsid w:val="009576CD"/>
    <w:rsid w:val="00972640"/>
    <w:rsid w:val="00976029"/>
    <w:rsid w:val="00992360"/>
    <w:rsid w:val="00997013"/>
    <w:rsid w:val="009B2D6B"/>
    <w:rsid w:val="009C297E"/>
    <w:rsid w:val="009E0389"/>
    <w:rsid w:val="009E4983"/>
    <w:rsid w:val="009E7E49"/>
    <w:rsid w:val="009F2465"/>
    <w:rsid w:val="009F6B32"/>
    <w:rsid w:val="00A009CE"/>
    <w:rsid w:val="00A13B62"/>
    <w:rsid w:val="00A149DD"/>
    <w:rsid w:val="00A2302D"/>
    <w:rsid w:val="00A447B6"/>
    <w:rsid w:val="00A46D47"/>
    <w:rsid w:val="00A62D43"/>
    <w:rsid w:val="00A710F3"/>
    <w:rsid w:val="00A71D9E"/>
    <w:rsid w:val="00A72414"/>
    <w:rsid w:val="00A80853"/>
    <w:rsid w:val="00A80AFB"/>
    <w:rsid w:val="00A82512"/>
    <w:rsid w:val="00A82BA1"/>
    <w:rsid w:val="00A82FE3"/>
    <w:rsid w:val="00A84B43"/>
    <w:rsid w:val="00A84EC0"/>
    <w:rsid w:val="00A964A4"/>
    <w:rsid w:val="00AA0ACB"/>
    <w:rsid w:val="00AA2DB4"/>
    <w:rsid w:val="00AB0407"/>
    <w:rsid w:val="00AB5DBB"/>
    <w:rsid w:val="00AD458B"/>
    <w:rsid w:val="00AD5F7D"/>
    <w:rsid w:val="00AE1F2D"/>
    <w:rsid w:val="00AE3DBA"/>
    <w:rsid w:val="00AE6854"/>
    <w:rsid w:val="00AF2BA4"/>
    <w:rsid w:val="00B23382"/>
    <w:rsid w:val="00B27FA6"/>
    <w:rsid w:val="00B34A74"/>
    <w:rsid w:val="00B46315"/>
    <w:rsid w:val="00B474EF"/>
    <w:rsid w:val="00B629FD"/>
    <w:rsid w:val="00B63942"/>
    <w:rsid w:val="00B71027"/>
    <w:rsid w:val="00B72BA5"/>
    <w:rsid w:val="00B72DD0"/>
    <w:rsid w:val="00B852DB"/>
    <w:rsid w:val="00B87F34"/>
    <w:rsid w:val="00B9744D"/>
    <w:rsid w:val="00BA798A"/>
    <w:rsid w:val="00BB6113"/>
    <w:rsid w:val="00BC6E5C"/>
    <w:rsid w:val="00BF42FB"/>
    <w:rsid w:val="00BF6420"/>
    <w:rsid w:val="00C01186"/>
    <w:rsid w:val="00C0412A"/>
    <w:rsid w:val="00C051C7"/>
    <w:rsid w:val="00C102C9"/>
    <w:rsid w:val="00C14706"/>
    <w:rsid w:val="00C34A71"/>
    <w:rsid w:val="00C47FC1"/>
    <w:rsid w:val="00C5632E"/>
    <w:rsid w:val="00C5723D"/>
    <w:rsid w:val="00C66B57"/>
    <w:rsid w:val="00C733EA"/>
    <w:rsid w:val="00C736D9"/>
    <w:rsid w:val="00C77327"/>
    <w:rsid w:val="00C817F2"/>
    <w:rsid w:val="00C868D8"/>
    <w:rsid w:val="00C93D4C"/>
    <w:rsid w:val="00CB040E"/>
    <w:rsid w:val="00CC6721"/>
    <w:rsid w:val="00CD5098"/>
    <w:rsid w:val="00CD5536"/>
    <w:rsid w:val="00CE3C2A"/>
    <w:rsid w:val="00CE6C00"/>
    <w:rsid w:val="00CF07E5"/>
    <w:rsid w:val="00CF1187"/>
    <w:rsid w:val="00CF4842"/>
    <w:rsid w:val="00D108CB"/>
    <w:rsid w:val="00D16977"/>
    <w:rsid w:val="00D35170"/>
    <w:rsid w:val="00D42CEC"/>
    <w:rsid w:val="00D44574"/>
    <w:rsid w:val="00D601EF"/>
    <w:rsid w:val="00D75749"/>
    <w:rsid w:val="00D83EE0"/>
    <w:rsid w:val="00DA3E65"/>
    <w:rsid w:val="00DA4B1B"/>
    <w:rsid w:val="00DC2B05"/>
    <w:rsid w:val="00DC7025"/>
    <w:rsid w:val="00DE269D"/>
    <w:rsid w:val="00DE41F6"/>
    <w:rsid w:val="00DF04A0"/>
    <w:rsid w:val="00E22438"/>
    <w:rsid w:val="00E22CB4"/>
    <w:rsid w:val="00E22E28"/>
    <w:rsid w:val="00E3106C"/>
    <w:rsid w:val="00E34945"/>
    <w:rsid w:val="00E67A73"/>
    <w:rsid w:val="00E75696"/>
    <w:rsid w:val="00E87621"/>
    <w:rsid w:val="00E9145B"/>
    <w:rsid w:val="00E950CF"/>
    <w:rsid w:val="00EB62D4"/>
    <w:rsid w:val="00EC1C5F"/>
    <w:rsid w:val="00ED2DC8"/>
    <w:rsid w:val="00ED3F92"/>
    <w:rsid w:val="00F0082B"/>
    <w:rsid w:val="00F0441E"/>
    <w:rsid w:val="00F2135B"/>
    <w:rsid w:val="00F2227C"/>
    <w:rsid w:val="00F378B6"/>
    <w:rsid w:val="00F45DDD"/>
    <w:rsid w:val="00F80506"/>
    <w:rsid w:val="00F9075F"/>
    <w:rsid w:val="00F91DE2"/>
    <w:rsid w:val="00F936FD"/>
    <w:rsid w:val="00FA09F7"/>
    <w:rsid w:val="00FB439A"/>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0DAF1"/>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microsoft.com/office/2018/08/relationships/commentsExtensible" Target="commentsExtensible.xml"/><Relationship Id="rId10" Type="http://schemas.openxmlformats.org/officeDocument/2006/relationships/endnotes" Target="endnotes.xml"/><Relationship Id="rId19"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07781DB-EED9-4359-8AD9-68137B52B701}">
  <ds:schemaRefs>
    <ds:schemaRef ds:uri="http://schemas.microsoft.com/sharepoint/v3/contenttype/forms"/>
  </ds:schemaRefs>
</ds:datastoreItem>
</file>

<file path=customXml/itemProps2.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4.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5037</TotalTime>
  <Pages>36</Pages>
  <Words>11414</Words>
  <Characters>62778</Characters>
  <Application>Microsoft Office Word</Application>
  <DocSecurity>0</DocSecurity>
  <Lines>523</Lines>
  <Paragraphs>148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74044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149</cp:revision>
  <dcterms:created xsi:type="dcterms:W3CDTF">2026-03-23T21:09:00Z</dcterms:created>
  <dcterms:modified xsi:type="dcterms:W3CDTF">2026-07-29T19:53:00Z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