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C35AD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C35ADE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C35AE0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pPr>
        <w:pStyle w:val="Prrafodelista"/>
        <w:numPr>
          <w:ilvl w:val="0"/>
          <w:numId w:val="18"/>
        </w:numPr>
        <w:spacing w:line="276" w:lineRule="auto"/>
        <w:rPr>
          <w:b w:val="0"/>
          <w:bCs w:val="0"/>
          <w:color w:val="000000"/>
        </w:rPr>
      </w:pPr>
      <w:r>
        <w:rPr>
          <w:b w:val="0"/>
          <w:bCs w:val="0"/>
          <w:color w:val="000000"/>
        </w:rPr>
        <w:t>INJA: Intendencia Nacional Jurídico Aduanera</w:t>
      </w:r>
    </w:p>
    <w:p>
      <w:pPr>
        <w:pStyle w:val="Prrafodelista"/>
        <w:numPr>
          <w:ilvl w:val="0"/>
          <w:numId w:val="18"/>
        </w:numPr>
        <w:spacing w:line="276" w:lineRule="auto"/>
        <w:rPr>
          <w:b w:val="0"/>
          <w:bCs w:val="0"/>
          <w:color w:val="000000"/>
        </w:rPr>
      </w:pPr>
      <w:r>
        <w:rPr>
          <w:b w:val="0"/>
          <w:bCs w:val="0"/>
          <w:color w:val="000000"/>
        </w:rPr>
        <w:t>INJT: Intendencia Nacional Jurídico Tributaria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2C35AE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C35AE0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2C35AE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2C35AE05"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2C35AE06"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adquisición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EA5FC0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2EA5FC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actualizaciones, conforme al numeral 7.11.</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6.10.3 y 6.14.</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pPr>
              <w:spacing w:before="20" w:after="20" w:line="276" w:lineRule="auto"/>
              <w:rPr>
                <w:rFonts w:ascii="Arial" w:hAnsi="Arial" w:cs="Arial"/>
              </w:rPr>
            </w:pPr>
            <w:r>
              <w:rPr>
                <w:rFonts w:ascii="Arial" w:eastAsia="Arial" w:hAnsi="Arial" w:cs="Arial"/>
                <w:b/>
                <w:bCs/>
              </w:rPr>
              <w:t xml:space="preserve">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pPr>
              <w:spacing w:before="20" w:after="20" w:line="276" w:lineRule="auto"/>
              <w:rPr>
                <w:rFonts w:ascii="Arial" w:hAnsi="Arial" w:cs="Arial"/>
              </w:rPr>
            </w:pPr>
            <w:r>
              <w:rPr>
                <w:rFonts w:ascii="Arial" w:eastAsia="Arial" w:hAnsi="Arial" w:cs="Arial"/>
              </w:rPr>
              <w:t xml:space="preserve">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pPr>
              <w:pStyle w:val="Prrafodelista"/>
              <w:numPr>
                <w:ilvl w:val="0"/>
                <w:numId w:val="16"/>
              </w:numPr>
              <w:spacing w:before="20" w:after="20" w:line="276" w:lineRule="auto"/>
              <w:ind w:left="299" w:hanging="283"/>
              <w:jc w:val="left"/>
              <w:rPr>
                <w:b w:val="0"/>
                <w:bCs w:val="0"/>
              </w:rPr>
            </w:pPr>
            <w:r>
              <w:rPr>
                <w:b w:val="0"/>
                <w:bCs w:val="0"/>
              </w:rPr>
              <w:t xml:space="preserve">Interpreta, con carácter vinculante, el sentido y el alcance de las normas tributarias, conforme al artículo 362 del ROF.</w:t>
            </w:r>
          </w:p>
          <w:p>
            <w:pPr>
              <w:pStyle w:val="Prrafodelista"/>
              <w:numPr>
                <w:ilvl w:val="0"/>
                <w:numId w:val="16"/>
              </w:numPr>
              <w:spacing w:before="20" w:after="20" w:line="276" w:lineRule="auto"/>
              <w:ind w:left="299" w:hanging="283"/>
              <w:jc w:val="left"/>
              <w:rPr>
                <w:b w:val="0"/>
                <w:bCs w:val="0"/>
              </w:rPr>
            </w:pPr>
            <w:r>
              <w:rPr>
                <w:b w:val="0"/>
                <w:bCs w:val="0"/>
              </w:rPr>
              <w:t xml:space="preserve">Emite opinión legal vinculante sobre las consultas que le formulan las unidades de organización en las materias de su competencia, conforme al literal c) del artículo 363 del ROF.</w:t>
            </w:r>
          </w:p>
          <w:p>
            <w:pPr>
              <w:pStyle w:val="Prrafodelista"/>
              <w:numPr>
                <w:ilvl w:val="0"/>
                <w:numId w:val="16"/>
              </w:numPr>
              <w:spacing w:before="20" w:after="20" w:line="276" w:lineRule="auto"/>
              <w:ind w:left="299" w:hanging="283"/>
              <w:jc w:val="left"/>
              <w:rPr>
                <w:b w:val="0"/>
                <w:bCs w:val="0"/>
              </w:rPr>
            </w:pPr>
            <w:r>
              <w:rPr>
                <w:b w:val="0"/>
                <w:bCs w:val="0"/>
              </w:rPr>
              <w:t xml:space="preserve">La Comisión de Gobierno de IA la convoca conforme a los numerales 6.4.2, 6.7.8 y 6.8.3.</w:t>
            </w:r>
          </w:p>
          <w:p>
            <w:pPr>
              <w:pStyle w:val="Prrafodelista"/>
              <w:numPr>
                <w:ilvl w:val="0"/>
                <w:numId w:val="16"/>
              </w:numPr>
              <w:spacing w:before="20" w:after="20" w:line="276" w:lineRule="auto"/>
              <w:ind w:left="299" w:hanging="283"/>
              <w:jc w:val="left"/>
              <w:rPr>
                <w:b w:val="0"/>
                <w:bCs w:val="0"/>
              </w:rPr>
            </w:pPr>
            <w:r>
              <w:rPr>
                <w:b w:val="0"/>
                <w:bCs w:val="0"/>
              </w:rPr>
              <w:t xml:space="preserve">La Gerencia de Arquitectura solicita su opinión conforme al numeral 6.5.8.</w:t>
            </w:r>
          </w:p>
        </w:tc>
      </w:tr>
      <w:tr>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pPr>
              <w:spacing w:before="20" w:after="20" w:line="276" w:lineRule="auto"/>
              <w:rPr>
                <w:rFonts w:ascii="Arial" w:hAnsi="Arial" w:cs="Arial"/>
              </w:rPr>
            </w:pPr>
            <w:r>
              <w:rPr>
                <w:rFonts w:ascii="Arial" w:eastAsia="Arial" w:hAnsi="Arial" w:cs="Arial"/>
                <w:b/>
                <w:bCs/>
              </w:rPr>
              <w:t xml:space="preserve">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pPr>
              <w:spacing w:before="20" w:after="20" w:line="276" w:lineRule="auto"/>
              <w:rPr>
                <w:rFonts w:ascii="Arial" w:hAnsi="Arial" w:cs="Arial"/>
              </w:rPr>
            </w:pPr>
            <w:r>
              <w:rPr>
                <w:rFonts w:ascii="Arial" w:eastAsia="Arial" w:hAnsi="Arial" w:cs="Arial"/>
              </w:rPr>
              <w:t xml:space="preserve">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pPr>
              <w:pStyle w:val="Prrafodelista"/>
              <w:numPr>
                <w:ilvl w:val="0"/>
                <w:numId w:val="16"/>
              </w:numPr>
              <w:spacing w:before="20" w:after="20" w:line="276" w:lineRule="auto"/>
              <w:ind w:left="299" w:hanging="283"/>
              <w:jc w:val="left"/>
              <w:rPr>
                <w:b w:val="0"/>
                <w:bCs w:val="0"/>
              </w:rPr>
            </w:pPr>
            <w:r>
              <w:rPr>
                <w:b w:val="0"/>
                <w:bCs w:val="0"/>
              </w:rPr>
              <w:t xml:space="preserve">Interpreta, con carácter vinculante, el sentido y el alcance de las normas en materia aduanera, conforme al artículo 453 del ROF.</w:t>
            </w:r>
          </w:p>
          <w:p>
            <w:pPr>
              <w:pStyle w:val="Prrafodelista"/>
              <w:numPr>
                <w:ilvl w:val="0"/>
                <w:numId w:val="16"/>
              </w:numPr>
              <w:spacing w:before="20" w:after="20" w:line="276" w:lineRule="auto"/>
              <w:ind w:left="299" w:hanging="283"/>
              <w:jc w:val="left"/>
              <w:rPr>
                <w:b w:val="0"/>
                <w:bCs w:val="0"/>
              </w:rPr>
            </w:pPr>
            <w:r>
              <w:rPr>
                <w:b w:val="0"/>
                <w:bCs w:val="0"/>
              </w:rPr>
              <w:t xml:space="preserve">Emite opinión legal vinculante y absuelve las consultas que le formulan las unidades de organización en las materias de su competencia, conforme a los literales c) y d) del artículo 454 del ROF.</w:t>
            </w:r>
          </w:p>
          <w:p>
            <w:pPr>
              <w:pStyle w:val="Prrafodelista"/>
              <w:numPr>
                <w:ilvl w:val="0"/>
                <w:numId w:val="16"/>
              </w:numPr>
              <w:spacing w:before="20" w:after="20" w:line="276" w:lineRule="auto"/>
              <w:ind w:left="299" w:hanging="283"/>
              <w:jc w:val="left"/>
              <w:rPr>
                <w:b w:val="0"/>
                <w:bCs w:val="0"/>
              </w:rPr>
            </w:pPr>
            <w:r>
              <w:rPr>
                <w:b w:val="0"/>
                <w:bCs w:val="0"/>
              </w:rPr>
              <w:t xml:space="preserve">Cuando la materia tenga incidencia tributaria, coordina con la Intendencia Nacional Jurídico Tributaria, conforme al literal c) del citado artículo.</w:t>
            </w:r>
          </w:p>
          <w:p>
            <w:pPr>
              <w:pStyle w:val="Prrafodelista"/>
              <w:numPr>
                <w:ilvl w:val="0"/>
                <w:numId w:val="16"/>
              </w:numPr>
              <w:spacing w:before="20" w:after="20" w:line="276" w:lineRule="auto"/>
              <w:ind w:left="299" w:hanging="283"/>
              <w:jc w:val="left"/>
              <w:rPr>
                <w:b w:val="0"/>
                <w:bCs w:val="0"/>
              </w:rPr>
            </w:pPr>
            <w:r>
              <w:rPr>
                <w:b w:val="0"/>
                <w:bCs w:val="0"/>
              </w:rPr>
              <w:t xml:space="preserve">La Comisión de Gobierno de IA la convoca conforme a los numerales 6.4.2, 6.7.8 y 6.8.3.</w:t>
            </w:r>
          </w:p>
          <w:p>
            <w:pPr>
              <w:pStyle w:val="Prrafodelista"/>
              <w:numPr>
                <w:ilvl w:val="0"/>
                <w:numId w:val="16"/>
              </w:numPr>
              <w:spacing w:before="20" w:after="20" w:line="276" w:lineRule="auto"/>
              <w:ind w:left="299" w:hanging="283"/>
              <w:jc w:val="left"/>
              <w:rPr>
                <w:b w:val="0"/>
                <w:bCs w:val="0"/>
              </w:rPr>
            </w:pPr>
            <w:r>
              <w:rPr>
                <w:b w:val="0"/>
                <w:bCs w:val="0"/>
              </w:rPr>
              <w:t xml:space="preserve">La Gerencia de Arquitectura solicita su opinión conforme al numeral 6.5.8.</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E8CBF01"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 xml:space="preserve">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7E8CBF0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6.5.9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7E8CB041"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7E8CB042"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7E8CB043"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7E8CB04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7E8CB04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7E8CB046"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7E8CB047"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6.15.2 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6.15.4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6.15.6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6.15.8 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6.15.9 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6.15.10 La unidad de organización competente del MGPP incorpora en dicho instrumento el momento y la instancia ante la que se recaba la opinión, conforme al numeral 7.6.</w:t>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 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pPr>
        <w:pStyle w:val="SubtituloDONI"/>
        <w:spacing w:line="276" w:lineRule="auto"/>
        <w:ind w:left="851"/>
        <w:rPr>
          <w:b w:val="0"/>
          <w:bCs w:val="0"/>
        </w:rPr>
      </w:pPr>
      <w:r>
        <w:rPr>
          <w:b w:val="0"/>
          <w:bCs w:val="0"/>
        </w:rPr>
        <w:t>7.13</w:t>
        <w:tab/>
        <w:t xml:space="preserve">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 La Comisión de Gobierno de IA le proporciona la información institucional que requiera para ambos fines.</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3D4C74C1" w14:textId="777777C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3" w14:textId="73D4C0C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5" w14:textId="51C3B1C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7" w14:textId="6A9151C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3D4C74C9" w14:textId="777777C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B" w14:textId="73D4C0C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D" w14:textId="51C3B1C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F" w14:textId="6A9151D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3D4C74D1" w14:textId="777777D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3" w14:textId="73D4C0D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5" w14:textId="51C3B1D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7" w14:textId="6A9151D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3D4C74D9" w14:textId="777777D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B" w14:textId="73D4C0D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D" w14:textId="51C3B1D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F" w14:textId="6A9151E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A1"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443EB5A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de datos sensibles, de datos biométricos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