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3500C9E2"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7A4DB512"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122868CE"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334964A7"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21A72EE4"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25BE9A9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1C3DBB2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before="0" w:after="60" w:line="276" w:lineRule="auto"/>
        <w:ind w:left="1276" w:hanging="720"/>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 xml:space="preserve">Aprueba los casos de uso. Valida el Plan de Acción de Inteligencia Artificial, conforme al numeral 5.3 del artículo 5 de la Resolución Ministerial N.° 152-2026-PCM y al numeral 7.11 de la presente </w:t>
            </w:r>
            <w:r w:rsidRPr="00F775C3">
              <w:rPr>
                <w:b w:val="0"/>
                <w:bCs w:val="0"/>
                <w:highlight w:val="green"/>
              </w:rPr>
              <w:t>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w:t>
            </w:r>
            <w:r>
              <w:rPr>
                <w:b w:val="0"/>
                <w:bCs w:val="0"/>
              </w:rPr>
              <w:lastRenderedPageBreak/>
              <w:t>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w:t>
            </w:r>
            <w:r>
              <w:rPr>
                <w:b w:val="0"/>
                <w:bCs w:val="0"/>
                <w:color w:val="000000"/>
                <w:highlight w:val="green"/>
              </w:rPr>
              <w:lastRenderedPageBreak/>
              <w:t>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w:t>
            </w:r>
            <w:r>
              <w:rPr>
                <w:b w:val="0"/>
                <w:bCs w:val="0"/>
                <w:highlight w:val="green"/>
              </w:rPr>
              <w:lastRenderedPageBreak/>
              <w:t>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adopción de la inteligencia artificial en el ámbito de 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w:t>
            </w:r>
            <w:r>
              <w:rPr>
                <w:b w:val="0"/>
                <w:bCs w:val="0"/>
              </w:rPr>
              <w:lastRenderedPageBreak/>
              <w:t>Intendencia Nacional Jurídico 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w:t>
            </w:r>
            <w:r>
              <w:rPr>
                <w:rFonts w:ascii="Arial" w:eastAsia="Arial" w:hAnsi="Arial" w:cs="Arial"/>
                <w:highlight w:val="green"/>
              </w:rPr>
              <w:lastRenderedPageBreak/>
              <w:t>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w:t>
            </w:r>
            <w:r>
              <w:rPr>
                <w:rFonts w:ascii="Arial" w:eastAsia="Arial" w:hAnsi="Arial" w:cs="Arial"/>
                <w:highlight w:val="green"/>
              </w:rPr>
              <w:lastRenderedPageBreak/>
              <w:t>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w:t>
            </w:r>
            <w:r>
              <w:rPr>
                <w:rFonts w:ascii="Arial" w:eastAsia="Arial" w:hAnsi="Arial" w:cs="Arial"/>
              </w:rPr>
              <w:lastRenderedPageBreak/>
              <w:t>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w:t>
            </w:r>
            <w:r>
              <w:rPr>
                <w:rFonts w:ascii="Arial" w:hAnsi="Arial" w:cs="Arial"/>
                <w:highlight w:val="green"/>
              </w:rPr>
              <w:lastRenderedPageBreak/>
              <w:t xml:space="preserve">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w:t>
            </w:r>
            <w:r>
              <w:rPr>
                <w:rFonts w:ascii="Arial" w:eastAsia="Arial" w:hAnsi="Arial" w:cs="Arial"/>
                <w:highlight w:val="yellow"/>
              </w:rPr>
              <w:lastRenderedPageBreak/>
              <w:t>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w:t>
      </w:r>
      <w:r>
        <w:rPr>
          <w:rFonts w:ascii="Arial" w:eastAsia="Arial" w:hAnsi="Arial" w:cs="Arial"/>
          <w:color w:val="000000"/>
          <w:highlight w:val="green"/>
        </w:rPr>
        <w:lastRenderedPageBreak/>
        <w:t>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 xml:space="preserve">6.1.6</w:t>
        <w:tab/>
        <w:t xml:space="preserve">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lastRenderedPageBreak/>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w:t>
      </w:r>
      <w:r>
        <w:rPr>
          <w:rFonts w:ascii="Arial" w:eastAsia="Arial" w:hAnsi="Arial" w:cs="Arial"/>
          <w:color w:val="000000"/>
          <w:highlight w:val="green"/>
        </w:rPr>
        <w:lastRenderedPageBreak/>
        <w:t>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 xml:space="preserve">6.5.6</w:t>
        <w:tab/>
        <w:t xml:space="preserve">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w:t>
      </w:r>
      <w:r>
        <w:rPr>
          <w:rFonts w:ascii="Arial" w:eastAsia="Arial" w:hAnsi="Arial" w:cs="Arial"/>
          <w:color w:val="000000"/>
          <w:highlight w:val="green"/>
        </w:rPr>
        <w:lastRenderedPageBreak/>
        <w:t>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6.5.9</w:t>
        <w:tab/>
        <w:t xml:space="preserve">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rPr>
        <w:t xml:space="preserve">La ejecución de las pruebas que sustentan la medición de los indicadores de sesgo previstos en el numeral 6.10.2 corresponde a la División de Control de Calidad, como prueba no funcional, conforme al literal a) del artículo 126 del ROF. La metodología prevista en el numeral 6.1.5 desarrolla las pruebas aplicables según el tipo de SBIA. </w:t>
      </w:r>
      <w:r>
        <w:rPr>
          <w:rFonts w:ascii="Arial" w:eastAsia="Arial" w:hAnsi="Arial" w:cs="Arial"/>
          <w:color w:val="000000"/>
          <w:highlight w:val="green"/>
        </w:rPr>
        <w:t xml:space="preserve">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w:t>
      </w:r>
      <w:r>
        <w:rPr>
          <w:rFonts w:ascii="Arial" w:eastAsia="Arial" w:hAnsi="Arial" w:cs="Arial"/>
          <w:color w:val="000000"/>
          <w:highlight w:val="cyan"/>
        </w:rPr>
        <w:lastRenderedPageBreak/>
        <w:t xml:space="preserve">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 xml:space="preserve">6.7.8</w:t>
        <w:tab/>
        <w:t xml:space="preserve">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w:t>
      </w:r>
      <w:r>
        <w:rPr>
          <w:rFonts w:ascii="Arial" w:eastAsia="Arial" w:hAnsi="Arial" w:cs="Arial"/>
          <w:color w:val="000000"/>
          <w:highlight w:val="green"/>
        </w:rPr>
        <w:lastRenderedPageBreak/>
        <w:t>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w:t>
      </w:r>
      <w:r>
        <w:rPr>
          <w:rFonts w:ascii="Arial" w:eastAsia="Arial" w:hAnsi="Arial" w:cs="Arial"/>
          <w:color w:val="000000"/>
          <w:highlight w:val="green"/>
        </w:rPr>
        <w:lastRenderedPageBreak/>
        <w:t>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w:t>
        <w:tab/>
        <w:t xml:space="preserve">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w:t>
      </w:r>
      <w:r>
        <w:rPr>
          <w:rFonts w:ascii="Arial" w:hAnsi="Arial" w:cs="Arial"/>
          <w:color w:val="000000"/>
          <w:highlight w:val="cyan"/>
        </w:rPr>
        <w:lastRenderedPageBreak/>
        <w:t>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w:t>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 xml:space="preserve">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Pr>
          <w:rFonts w:ascii="Arial" w:eastAsia="Arial" w:hAnsi="Arial" w:cs="Arial"/>
          <w:color w:val="000000"/>
          <w:highlight w:val="green"/>
        </w:rPr>
        <w:lastRenderedPageBreak/>
        <w:t>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 xml:space="preserve">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w:t>
        <w:tab/>
        <w:t xml:space="preserve">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 xml:space="preserve">Ninguna unidad de organización desarrolla, adquiere, contrata, implementa u opera SBIA fuera del límite de la presente directiva, independientemente de su </w:t>
      </w:r>
      <w:r>
        <w:rPr>
          <w:rFonts w:ascii="Arial" w:eastAsia="Arial" w:hAnsi="Arial" w:cs="Arial"/>
          <w:color w:val="000000"/>
          <w:highlight w:val="green"/>
        </w:rPr>
        <w:lastRenderedPageBreak/>
        <w:t>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 xml:space="preserve">La unidad de organización que formula los términos de referencia o las especificaciones técnicas incorpora en ellos las cláusulas que el contrato debe contener sobre: (a) protección de datos y reserva tributaria; (b) transparencia </w:t>
      </w:r>
      <w:r>
        <w:rPr>
          <w:rFonts w:ascii="Arial" w:eastAsia="Arial" w:hAnsi="Arial" w:cs="Arial"/>
          <w:color w:val="000000"/>
          <w:highlight w:val="green"/>
        </w:rPr>
        <w:lastRenderedPageBreak/>
        <w:t>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6.13.1</w:t>
        <w:tab/>
        <w:t xml:space="preserve">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6.13.2</w:t>
        <w:tab/>
        <w:t xml:space="preserve">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6.13.3</w:t>
        <w:tab/>
        <w:t xml:space="preserve">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w:t>
      </w:r>
      <w:r>
        <w:rPr>
          <w:rFonts w:ascii="Arial" w:eastAsia="Arial" w:hAnsi="Arial" w:cs="Arial"/>
          <w:color w:val="000000"/>
          <w:highlight w:val="lightGray"/>
        </w:rPr>
        <w:lastRenderedPageBreak/>
        <w:t>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 xml:space="preserve">6.15</w:t>
        <w:tab/>
        <w:t xml:space="preserve">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w:t>
        <w:tab/>
        <w:t xml:space="preserve">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w:t>
      </w:r>
      <w:r>
        <w:rPr>
          <w:rFonts w:ascii="Arial" w:hAnsi="Arial" w:cs="Arial"/>
          <w:highlight w:val="green"/>
        </w:rPr>
        <w:lastRenderedPageBreak/>
        <w:t>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6.15.2</w:t>
        <w:tab/>
        <w:t xml:space="preserve">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6.15.3</w:t>
        <w:tab/>
        <w:t xml:space="preserve">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6.15.4</w:t>
        <w:tab/>
        <w:t xml:space="preserve">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lastRenderedPageBreak/>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6.15.5</w:t>
        <w:tab/>
        <w:t xml:space="preserve">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6.15.6</w:t>
        <w:tab/>
        <w:t xml:space="preserve">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 xml:space="preserve">6.15.7</w:t>
        <w:tab/>
        <w:t xml:space="preserve">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r>
      <w:r>
        <w:rPr>
          <w:rFonts w:ascii="Arial" w:hAnsi="Arial" w:cs="Arial"/>
          <w:highlight w:val="green"/>
        </w:rPr>
        <w:t xml:space="preserve">6.15.8</w:t>
        <w:tab/>
        <w:t xml:space="preserve">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6.15.9</w:t>
        <w:tab/>
        <w:t xml:space="preserve">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6.15.10</w:t>
        <w:tab/>
        <w:t xml:space="preserve">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 xml:space="preserve">7.12</w:t>
        <w:tab/>
        <w:t xml:space="preserve">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 xml:space="preserve">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w:t>
      </w:r>
      <w:r w:rsidR="00E41A15" w:rsidRPr="00E41A15">
        <w:rPr>
          <w:b w:val="0"/>
          <w:bCs w:val="0"/>
        </w:rPr>
        <w:t>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B5193" w14:textId="77777777" w:rsidR="002073F3" w:rsidRDefault="002073F3">
      <w:pPr>
        <w:spacing w:after="0" w:line="240" w:lineRule="auto"/>
      </w:pPr>
      <w:r>
        <w:separator/>
      </w:r>
    </w:p>
  </w:endnote>
  <w:endnote w:type="continuationSeparator" w:id="0">
    <w:p w14:paraId="3003C954" w14:textId="77777777" w:rsidR="002073F3" w:rsidRDefault="0020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E2BD3" w14:textId="77777777" w:rsidR="002073F3" w:rsidRDefault="002073F3">
      <w:pPr>
        <w:spacing w:after="0" w:line="240" w:lineRule="auto"/>
      </w:pPr>
      <w:r>
        <w:separator/>
      </w:r>
    </w:p>
  </w:footnote>
  <w:footnote w:type="continuationSeparator" w:id="0">
    <w:p w14:paraId="532F4124" w14:textId="77777777" w:rsidR="002073F3" w:rsidRDefault="002073F3">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10687</TotalTime>
  <Pages>55</Pages>
  <Words>18848</Words>
  <Characters>103668</Characters>
  <Application>Microsoft Office Word</Application>
  <DocSecurity>0</DocSecurity>
  <Lines>863</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251</cp:revision>
  <dcterms:created xsi:type="dcterms:W3CDTF">2026-03-23T21:09:00Z</dcterms:created>
  <dcterms:modified xsi:type="dcterms:W3CDTF">2026-08-31T19:48:00Z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