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sidR="00951287">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99959" w14:textId="77777777" w:rsidR="00FD6C8C" w:rsidRDefault="00FD6C8C" w:rsidP="0047575A">
            <w:pPr>
              <w:pStyle w:val="Prrafodelista"/>
              <w:numPr>
                <w:ilvl w:val="0"/>
                <w:numId w:val="13"/>
              </w:numPr>
              <w:spacing w:before="20" w:after="20" w:line="276" w:lineRule="auto"/>
              <w:ind w:left="299" w:hanging="283"/>
              <w:jc w:val="left"/>
              <w:rPr>
                <w:b w:val="0"/>
                <w:bCs w:val="0"/>
                <w:highlight w:val="green"/>
              </w:rPr>
            </w:pPr>
            <w:r w:rsidRPr="00FD6C8C">
              <w:rPr>
                <w:b w:val="0"/>
                <w:bCs w:val="0"/>
                <w:highlight w:val="green"/>
              </w:rPr>
              <w:t>Lidera, dirige, evalúa y supervisa los SBIA que califique como estratégicos para la entidad.</w:t>
            </w:r>
          </w:p>
          <w:p w14:paraId="03F7DD40" w14:textId="5B9E8C4F"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lastRenderedPageBreak/>
              <w:t xml:space="preserve">Aprueba la clasificación de riesgo de todos los SBIA conforme al numeral 6.2.2: </w:t>
            </w:r>
            <w:r w:rsidR="002D1BB4" w:rsidRPr="002D1BB4">
              <w:rPr>
                <w:b w:val="0"/>
                <w:bCs w:val="0"/>
                <w:highlight w:val="green"/>
              </w:rPr>
              <w:t>de manera individual en los de riesgo alto y en aquellos que el propio CGTD califique como estratégicos para la entidad al conocer la propuesta de la Comisión de Gobierno de IA, y de manera agregada en los demás de riesgo aceptable</w:t>
            </w:r>
            <w:r w:rsidRPr="002840F0">
              <w:rPr>
                <w:b w:val="0"/>
                <w:bCs w:val="0"/>
                <w:highlight w:val="green"/>
              </w:rPr>
              <w:t>. 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w:t>
            </w:r>
            <w:r w:rsidRPr="002840F0">
              <w:rPr>
                <w:b w:val="0"/>
                <w:bCs w:val="0"/>
                <w:highlight w:val="green"/>
              </w:rPr>
              <w:lastRenderedPageBreak/>
              <w:t>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904C72">
            <w:pPr>
              <w:pStyle w:val="Prrafodelista"/>
              <w:numPr>
                <w:ilvl w:val="0"/>
                <w:numId w:val="14"/>
              </w:numPr>
              <w:spacing w:before="20" w:after="20" w:line="276" w:lineRule="auto"/>
              <w:ind w:left="299" w:hanging="283"/>
              <w:jc w:val="left"/>
              <w:rPr>
                <w:b w:val="0"/>
                <w:bCs w:val="0"/>
              </w:rPr>
            </w:pPr>
            <w:r w:rsidRPr="00E51968">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w:t>
            </w:r>
            <w:r w:rsidRPr="00171767">
              <w:rPr>
                <w:b w:val="0"/>
                <w:bCs w:val="0"/>
                <w:highlight w:val="green"/>
              </w:rPr>
              <w:lastRenderedPageBreak/>
              <w:t xml:space="preserve">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904C72">
            <w:pPr>
              <w:pStyle w:val="Prrafodelista"/>
              <w:numPr>
                <w:ilvl w:val="0"/>
                <w:numId w:val="16"/>
              </w:numPr>
              <w:spacing w:before="20" w:after="20" w:line="276" w:lineRule="auto"/>
              <w:ind w:left="299" w:hanging="283"/>
              <w:jc w:val="left"/>
              <w:rPr>
                <w:b w:val="0"/>
                <w:bCs w:val="0"/>
              </w:rPr>
            </w:pPr>
            <w:r w:rsidRPr="00951287">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 xml:space="preserve">procesos de dicho ámbito y de su impacto en los administrados. Su participación es permanente y no sustituye la del propietario del caso de uso, </w:t>
            </w:r>
            <w:r w:rsidR="00951287" w:rsidRPr="00951287">
              <w:rPr>
                <w:b w:val="0"/>
                <w:bCs w:val="0"/>
                <w:highlight w:val="lightGray"/>
              </w:rPr>
              <w:t>a quien la Comisión convoca cuando se evalúa un caso de uso de su proceso.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 xml:space="preserve">Para SBIA de riesgo alto, aprobación de la EIA por el CGTD, previa al </w:t>
            </w:r>
            <w:r w:rsidR="00EC21E7" w:rsidRPr="00EC21E7">
              <w:rPr>
                <w:rFonts w:ascii="Arial" w:eastAsia="Arial" w:hAnsi="Arial" w:cs="Arial"/>
                <w:highlight w:val="green"/>
              </w:rPr>
              <w:lastRenderedPageBreak/>
              <w:t>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w:t>
            </w:r>
            <w:r w:rsidRPr="00FA4DEA">
              <w:rPr>
                <w:rFonts w:ascii="Arial" w:hAnsi="Arial" w:cs="Arial"/>
                <w:highlight w:val="green"/>
              </w:rPr>
              <w:lastRenderedPageBreak/>
              <w:t>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 xml:space="preserve">los controles de contención, las prácticas de monitoreo, la gestión de los cambios sobre los SBIA en operación, incluidos los criterios de </w:t>
      </w:r>
      <w:r w:rsidR="00532CB5" w:rsidRPr="00532CB5">
        <w:rPr>
          <w:rFonts w:ascii="Arial" w:hAnsi="Arial" w:cs="Arial"/>
          <w:color w:val="000000"/>
          <w:highlight w:val="lightGray"/>
        </w:rPr>
        <w:lastRenderedPageBreak/>
        <w:t>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46BB88C6"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w:t>
      </w:r>
      <w:r>
        <w:rPr>
          <w:rFonts w:ascii="Arial" w:eastAsia="Arial" w:hAnsi="Arial" w:cs="Arial"/>
          <w:color w:val="000000"/>
          <w:highlight w:val="yellow"/>
        </w:rPr>
        <w:lastRenderedPageBreak/>
        <w:t>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La EIA incorpora los aspectos de negocio (en particular el impacto en el administrado) y los aspectos técnicos. La Comisión de Gobierno de IA, la OII y la INALI la revisan.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2"/>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 xml:space="preserve">El propietario del caso de uso define el alcance de las acciones autorizadas; </w:t>
      </w:r>
      <w:r w:rsidR="00C10D18" w:rsidRPr="00C10D18">
        <w:rPr>
          <w:rFonts w:ascii="Arial" w:eastAsia="Arial" w:hAnsi="Arial" w:cs="Arial"/>
          <w:color w:val="000000"/>
          <w:highlight w:val="green"/>
        </w:rPr>
        <w:t xml:space="preserve">la División de Arquitectura de Información y de Aplicaciones aprueba el diseño de dichos mecanismos, conforme al literal a) del artículo 132 del ROF, y la División de Arquitectura Tecnológica valida su </w:t>
      </w:r>
      <w:r w:rsidR="00C10D18" w:rsidRPr="00C10D18">
        <w:rPr>
          <w:rFonts w:ascii="Arial" w:eastAsia="Arial" w:hAnsi="Arial" w:cs="Arial"/>
          <w:color w:val="000000"/>
          <w:highlight w:val="green"/>
        </w:rPr>
        <w:lastRenderedPageBreak/>
        <w:t>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5D615CB9" w:rsidR="005C3A70"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Pr="005C3A70">
        <w:rPr>
          <w:rFonts w:ascii="Arial" w:eastAsia="Arial" w:hAnsi="Arial" w:cs="Arial"/>
          <w:color w:val="000000"/>
          <w:highlight w:val="lightGray"/>
        </w:rPr>
        <w:t xml:space="preserve">Dicha determinación verifica que el código no revele información sujeta a reserva tributaria conforme al artículo 85 del TUO del Código Tributario, ni reglas de detección de riesgo cuya divulgación comprometa la función de control. </w:t>
      </w:r>
      <w:r w:rsidR="001E0BE5" w:rsidRPr="001E0BE5">
        <w:rPr>
          <w:rFonts w:ascii="Arial" w:eastAsia="Arial" w:hAnsi="Arial" w:cs="Arial"/>
          <w:color w:val="000000"/>
          <w:highlight w:val="green"/>
        </w:rPr>
        <w:t>La GA, con opinión de la INALI y de la Oficina de Seguridad Informática, determina la publicabilidad antes de cada liberación mayor y, en todo caso, con ocasión de la revisión integral anual del Inventario Institucional de SBIA prevista en el numeral 6.3.2; la GDS ejecuta la publicación cuando corresponda.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0F31A1" w:rsidRPr="001E0BE5">
        <w:rPr>
          <w:rFonts w:ascii="Arial" w:eastAsia="Arial" w:hAnsi="Arial" w:cs="Arial"/>
          <w:color w:val="000000"/>
          <w:highlight w:val="green"/>
        </w:rPr>
        <w:t>Cu</w:t>
      </w:r>
      <w:r w:rsidR="000F31A1" w:rsidRPr="000F31A1">
        <w:rPr>
          <w:rFonts w:ascii="Arial" w:eastAsia="Arial" w:hAnsi="Arial" w:cs="Arial"/>
          <w:color w:val="000000"/>
          <w:highlight w:val="green"/>
        </w:rPr>
        <w:t>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0577D6AD" w14:textId="77777777" w:rsidR="00C10D18" w:rsidRDefault="00C10D18" w:rsidP="005C3A70">
      <w:pPr>
        <w:spacing w:after="60" w:line="276" w:lineRule="auto"/>
        <w:ind w:left="1276" w:hanging="720"/>
        <w:jc w:val="both"/>
        <w:rPr>
          <w:rFonts w:ascii="Arial" w:eastAsia="Arial" w:hAnsi="Arial" w:cs="Arial"/>
          <w:color w:val="000000"/>
        </w:rPr>
      </w:pPr>
    </w:p>
    <w:p w14:paraId="20E2743E" w14:textId="77777777" w:rsidR="00C10D18" w:rsidRDefault="00C10D18" w:rsidP="005C3A70">
      <w:pPr>
        <w:spacing w:after="60" w:line="276" w:lineRule="auto"/>
        <w:ind w:left="1276" w:hanging="720"/>
        <w:jc w:val="both"/>
        <w:rPr>
          <w:rFonts w:ascii="Arial" w:eastAsia="Arial" w:hAnsi="Arial" w:cs="Arial"/>
          <w:color w:val="000000"/>
        </w:rPr>
      </w:pP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3"/>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w:t>
      </w:r>
      <w:r w:rsidRPr="002555BF">
        <w:rPr>
          <w:b w:val="0"/>
          <w:bCs w:val="0"/>
          <w:highlight w:val="green"/>
        </w:rPr>
        <w:lastRenderedPageBreak/>
        <w:t>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 xml:space="preserve">Para los SBIA de riesgo alto y para los SBIA de riesgo aceptable que interactúen directamente con el administrado, incorporen componentes generativos o procesen datos personales o información sujeta a reserva tributaria, </w:t>
      </w:r>
      <w:r w:rsidR="002D1BB4" w:rsidRPr="002D1BB4">
        <w:rPr>
          <w:rFonts w:ascii="Arial" w:eastAsia="Arial" w:hAnsi="Arial" w:cs="Arial"/>
          <w:color w:val="000000"/>
          <w:highlight w:val="green"/>
        </w:rPr>
        <w:t>el custodio técnico implementa como mínimo:</w:t>
      </w:r>
      <w:r w:rsidR="002D1BB4">
        <w:rPr>
          <w:rFonts w:ascii="Arial" w:eastAsia="Arial" w:hAnsi="Arial" w:cs="Arial"/>
          <w:color w:val="000000"/>
          <w:highlight w:val="green"/>
        </w:rPr>
        <w:t xml:space="preserve">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w:t>
      </w:r>
      <w:r w:rsidR="002D1BB4" w:rsidRPr="002D1BB4">
        <w:rPr>
          <w:rFonts w:ascii="Arial" w:eastAsia="Arial" w:hAnsi="Arial" w:cs="Arial"/>
          <w:color w:val="000000"/>
          <w:highlight w:val="yellow"/>
        </w:rPr>
        <w:t>evaluación de vulnerabilidades conforme al OWASP Top 10 para aplicaciones LLM, en la versión que determine el documento normativo del numeral 6.7.7</w:t>
      </w:r>
      <w:r>
        <w:rPr>
          <w:rFonts w:ascii="Arial" w:eastAsia="Arial" w:hAnsi="Arial" w:cs="Arial"/>
          <w:color w:val="000000"/>
          <w:highlight w:val="yellow"/>
        </w:rPr>
        <w:t>;</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rsidR="002D1BB4" w:rsidRPr="002D1BB4">
        <w:t xml:space="preserve"> </w:t>
      </w:r>
      <w:r w:rsidR="002D1BB4" w:rsidRPr="002D1BB4">
        <w:rPr>
          <w:rFonts w:ascii="Arial" w:eastAsia="Arial" w:hAnsi="Arial" w:cs="Arial"/>
          <w:color w:val="000000"/>
          <w:highlight w:val="green"/>
        </w:rPr>
        <w:t>Su implementación se verifica en el hito de aprobación previo al despliegue, conforme al numeral 6.2.5, y se registra en la Ficha de Registro de SBIA (Anexo N.° 1).</w:t>
      </w:r>
      <w:r w:rsidRPr="002D1BB4">
        <w:rPr>
          <w:rFonts w:ascii="Arial" w:eastAsia="Arial" w:hAnsi="Arial" w:cs="Arial"/>
          <w:color w:val="000000"/>
          <w:highlight w:val="green"/>
        </w:rPr>
        <w:t xml:space="preserve">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r>
      <w:r>
        <w:rPr>
          <w:rFonts w:ascii="Arial" w:eastAsia="Arial" w:hAnsi="Arial" w:cs="Arial"/>
          <w:color w:val="000000"/>
          <w:highlight w:val="yellow"/>
        </w:rPr>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4"/>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5"/>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disponibilidad de los medios </w:t>
      </w:r>
      <w:r w:rsidR="00AF13D8" w:rsidRPr="00AF13D8">
        <w:rPr>
          <w:rFonts w:ascii="Arial" w:eastAsia="Arial" w:hAnsi="Arial" w:cs="Arial"/>
          <w:color w:val="000000"/>
          <w:highlight w:val="green"/>
        </w:rPr>
        <w:lastRenderedPageBreak/>
        <w:t>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6"/>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7"/>
      </w:r>
      <w:r>
        <w:rPr>
          <w:rFonts w:ascii="Arial" w:eastAsia="Arial" w:hAnsi="Arial" w:cs="Arial"/>
          <w:color w:val="000000"/>
          <w:highlight w:val="yellow"/>
        </w:rPr>
        <w:t xml:space="preserve"> y asegura su calidad e integridad</w:t>
      </w:r>
      <w:r>
        <w:rPr>
          <w:rStyle w:val="Refdenotaalpie"/>
        </w:rPr>
        <w:footnoteReference w:id="8"/>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9"/>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w:t>
      </w:r>
      <w:r w:rsidR="002D1BB4">
        <w:rPr>
          <w:rFonts w:ascii="Arial" w:eastAsia="Arial" w:hAnsi="Arial" w:cs="Arial"/>
          <w:color w:val="000000"/>
          <w:highlight w:val="green"/>
        </w:rPr>
        <w:t>RLIA</w:t>
      </w:r>
      <w:r w:rsidR="00E207DD" w:rsidRPr="00E207DD">
        <w:rPr>
          <w:rFonts w:ascii="Arial" w:eastAsia="Arial" w:hAnsi="Arial" w:cs="Arial"/>
          <w:color w:val="000000"/>
          <w:highlight w:val="green"/>
        </w:rPr>
        <w:t>.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justificación legal de la restricción consta igualmente en el acuerdo del CGTD. </w:t>
      </w:r>
      <w:r w:rsidR="00E207DD" w:rsidRPr="00E207DD">
        <w:rPr>
          <w:rFonts w:ascii="Arial" w:eastAsia="Arial" w:hAnsi="Arial" w:cs="Arial"/>
          <w:color w:val="000000"/>
          <w:highlight w:val="green"/>
        </w:rPr>
        <w:lastRenderedPageBreak/>
        <w:t>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0"/>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 xml:space="preserve">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w:t>
      </w:r>
      <w:r w:rsidR="00E151B6" w:rsidRPr="00E151B6">
        <w:rPr>
          <w:rFonts w:ascii="Arial" w:hAnsi="Arial" w:cs="Arial"/>
          <w:color w:val="000000"/>
          <w:highlight w:val="green"/>
        </w:rPr>
        <w:lastRenderedPageBreak/>
        <w:t>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 xml:space="preserve">El estado del gobierno de IA institucional se informa como sección del informe de seguimiento del Plan de Gobierno Digital que presenta el CGTD, </w:t>
      </w:r>
      <w:r w:rsidR="00C462BD" w:rsidRPr="00C462BD">
        <w:rPr>
          <w:rFonts w:ascii="Arial" w:eastAsia="Arial" w:hAnsi="Arial" w:cs="Arial"/>
          <w:color w:val="000000"/>
          <w:highlight w:val="green"/>
        </w:rPr>
        <w:t>con la periodicidad y por el conducto que dicho instrumento establece, conforme al numeral 28.10 del artículo 28 del RLIA</w:t>
      </w:r>
      <w:r w:rsidR="00485890" w:rsidRPr="00485890">
        <w:rPr>
          <w:rFonts w:ascii="Arial" w:eastAsia="Arial" w:hAnsi="Arial" w:cs="Arial"/>
          <w:color w:val="000000"/>
          <w:highlight w:val="green"/>
        </w:rPr>
        <w:t>.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1"/>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 xml:space="preserve">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w:t>
      </w:r>
      <w:r w:rsidRPr="00532CB5">
        <w:rPr>
          <w:rFonts w:ascii="Arial" w:hAnsi="Arial" w:cs="Arial"/>
          <w:highlight w:val="lightGray"/>
        </w:rPr>
        <w:lastRenderedPageBreak/>
        <w:t>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 xml:space="preserve">Los lineamientos técnicos que regulan el uso de LLM open source en la infraestructura institucional integran los documentos técnicos de arquitectura previstos en el numeral 6.5.3. La División de Arquitectura de Información y de </w:t>
      </w:r>
      <w:r w:rsidR="00554995" w:rsidRPr="00554995">
        <w:rPr>
          <w:rFonts w:ascii="Arial" w:eastAsia="Arial" w:hAnsi="Arial" w:cs="Arial"/>
          <w:color w:val="000000"/>
          <w:highlight w:val="green"/>
        </w:rPr>
        <w:lastRenderedPageBreak/>
        <w:t>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sidRPr="008133DB">
        <w:rPr>
          <w:rFonts w:ascii="Arial" w:eastAsia="Arial" w:hAnsi="Arial" w:cs="Arial"/>
          <w:color w:val="000000"/>
          <w:highlight w:val="green"/>
        </w:rPr>
        <w:lastRenderedPageBreak/>
        <w:t>6.12.1</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w:t>
      </w:r>
      <w:r w:rsidRPr="008133DB">
        <w:rPr>
          <w:rFonts w:ascii="Arial" w:eastAsia="Arial" w:hAnsi="Arial" w:cs="Arial"/>
          <w:color w:val="000000"/>
          <w:highlight w:val="green"/>
        </w:rPr>
        <w:t>.2</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incorpora en ellos las cláusulas que el contrato debe contener sobre:</w:t>
      </w:r>
      <w:r w:rsidRPr="008133DB">
        <w:rPr>
          <w:rFonts w:ascii="Arial" w:eastAsia="Arial" w:hAnsi="Arial" w:cs="Arial"/>
          <w:color w:val="000000"/>
          <w:highlight w:val="green"/>
        </w:rPr>
        <w:t xml:space="preserve"> </w:t>
      </w:r>
      <w:r w:rsidRPr="003173B4">
        <w:rPr>
          <w:rFonts w:ascii="Arial" w:eastAsia="Arial" w:hAnsi="Arial" w:cs="Arial"/>
          <w:color w:val="000000"/>
          <w:highlight w:val="green"/>
        </w:rPr>
        <w:t xml:space="preserve">(a)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6.12.3</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6.12.4</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77777777"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 xml:space="preserve">Todo el personal de la SUNAT vinculado al diseño, desarrollo, implementación, evaluación o uso de sistemas basados en IA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 xml:space="preserve">establecido en el literal f) del artículo 7 del </w:t>
      </w:r>
      <w:r w:rsidR="002D1BB4">
        <w:rPr>
          <w:rFonts w:ascii="Arial" w:eastAsia="Arial" w:hAnsi="Arial" w:cs="Arial"/>
          <w:color w:val="000000"/>
          <w:highlight w:val="green"/>
        </w:rPr>
        <w:t>RLIA</w:t>
      </w:r>
      <w:r w:rsidRPr="00A402D8">
        <w:rPr>
          <w:rFonts w:ascii="Arial" w:eastAsia="Arial" w:hAnsi="Arial" w:cs="Arial"/>
          <w:color w:val="000000"/>
          <w:highlight w:val="green"/>
        </w:rPr>
        <w:t>,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se implementa conforme al numeral 28.5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 xml:space="preserve">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xml:space="preserve">, promoviendo su integración en la gestión institucional y favoreciendo las condiciones organizacionales necesarias para su sostenibilidad y mejora continua, en concordancia con los numerales 28.1 y 28.2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w:t>
      </w:r>
      <w:r w:rsidR="00951287" w:rsidRPr="00951287">
        <w:rPr>
          <w:rFonts w:ascii="Arial" w:eastAsia="Arial" w:hAnsi="Arial" w:cs="Arial"/>
          <w:color w:val="000000"/>
          <w:highlight w:val="yellow"/>
        </w:rPr>
        <w:t>la SUNAT promueve la participación de equipos diversos y multidisciplinarios, conforme al numeral 6.1.6</w:t>
      </w:r>
      <w:r>
        <w:rPr>
          <w:rFonts w:ascii="Arial" w:eastAsia="Arial" w:hAnsi="Arial" w:cs="Arial"/>
          <w:color w:val="000000"/>
          <w:highlight w:val="yellow"/>
        </w:rPr>
        <w:t>,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2"/>
      </w:r>
      <w:r>
        <w:rPr>
          <w:rFonts w:ascii="Arial" w:eastAsia="Arial" w:hAnsi="Arial" w:cs="Arial"/>
          <w:color w:val="000000"/>
          <w:highlight w:val="yellow"/>
        </w:rPr>
        <w:t>.</w:t>
      </w:r>
    </w:p>
    <w:p w14:paraId="60F5B515" w14:textId="44FA5DA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3"/>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w:t>
      </w:r>
      <w:r w:rsidR="002D1BB4">
        <w:rPr>
          <w:rFonts w:ascii="Arial" w:eastAsia="Arial" w:hAnsi="Arial" w:cs="Arial"/>
          <w:color w:val="000000"/>
          <w:highlight w:val="green"/>
        </w:rPr>
        <w:t>RLIA</w:t>
      </w:r>
      <w:r w:rsidR="002555BF" w:rsidRPr="002555BF">
        <w:rPr>
          <w:rFonts w:ascii="Arial" w:eastAsia="Arial" w:hAnsi="Arial" w:cs="Arial"/>
          <w:color w:val="000000"/>
          <w:highlight w:val="green"/>
        </w:rPr>
        <w:t xml:space="preserve">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 xml:space="preserve">Esta disposición desarrolla el numeral 28.9 del artículo 28 del </w:t>
      </w:r>
      <w:r w:rsidR="002D1BB4">
        <w:rPr>
          <w:rFonts w:ascii="Arial" w:eastAsia="Arial" w:hAnsi="Arial" w:cs="Arial"/>
          <w:color w:val="000000"/>
          <w:highlight w:val="green"/>
        </w:rPr>
        <w:t>RLIA</w:t>
      </w:r>
      <w:r w:rsidR="000E3950" w:rsidRPr="000E3950">
        <w:rPr>
          <w:rFonts w:ascii="Arial" w:eastAsia="Arial" w:hAnsi="Arial" w:cs="Arial"/>
          <w:color w:val="000000"/>
          <w:highlight w:val="green"/>
        </w:rPr>
        <w:t>.</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4"/>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 xml:space="preserve">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w:t>
      </w:r>
      <w:r w:rsidR="006D44AB" w:rsidRPr="006D44AB">
        <w:rPr>
          <w:rFonts w:ascii="Arial" w:hAnsi="Arial" w:cs="Arial"/>
          <w:highlight w:val="green"/>
        </w:rPr>
        <w:lastRenderedPageBreak/>
        <w:t>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lastRenderedPageBreak/>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r w:rsidR="00C10D18" w:rsidRPr="00C10D18">
        <w:rPr>
          <w:rFonts w:asciiTheme="minorHAnsi" w:eastAsiaTheme="minorEastAsia" w:hAnsiTheme="minorHAnsi" w:cstheme="minorBidi"/>
          <w:b w:val="0"/>
          <w:bCs w:val="0"/>
        </w:rPr>
        <w:t xml:space="preserve"> </w:t>
      </w:r>
      <w:r w:rsidR="00C10D18" w:rsidRPr="00C10D18">
        <w:rPr>
          <w:b w:val="0"/>
          <w:bCs w:val="0"/>
          <w:highlight w:val="yellow"/>
        </w:rPr>
        <w:t>El CGTD adopta el acuerdo de propuesta de conformación en su primera sesión posterior a la entrada en vigencia de la presente directiva. En tanto la Comisión de Gobierno de IA no se conforme, el CGTD ejerce las funciones que la presente directiva asigna a aquella, y la INSI prepara y eleva las propuestas correspondientes, recabando previamente la opinión de las unidades de organización a las que el numeral 5.4 asigna una materia.</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68AAD48" w:rsidR="0018147B" w:rsidRDefault="00000000" w:rsidP="00174519">
      <w:pPr>
        <w:pStyle w:val="SubtituloDONI"/>
        <w:spacing w:line="276" w:lineRule="auto"/>
        <w:ind w:left="851"/>
        <w:rPr>
          <w:b w:val="0"/>
          <w:bCs w:val="0"/>
        </w:rPr>
      </w:pPr>
      <w:r w:rsidRPr="008133DB">
        <w:rPr>
          <w:b w:val="0"/>
          <w:bCs w:val="0"/>
          <w:highlight w:val="green"/>
        </w:rPr>
        <w:t>7.9</w:t>
      </w:r>
      <w:r w:rsidRPr="008133DB">
        <w:rPr>
          <w:b w:val="0"/>
          <w:bCs w:val="0"/>
          <w:highlight w:val="green"/>
        </w:rPr>
        <w:tab/>
      </w:r>
      <w:r w:rsidR="008133DB" w:rsidRPr="008133DB">
        <w:rPr>
          <w:b w:val="0"/>
          <w:bCs w:val="0"/>
          <w:highlight w:val="green"/>
        </w:rPr>
        <w:t xml:space="preserve">El detalle de aplicación de los Anexos </w:t>
      </w:r>
      <w:r w:rsidR="008133DB" w:rsidRPr="008133DB">
        <w:rPr>
          <w:b w:val="0"/>
          <w:bCs w:val="0"/>
          <w:highlight w:val="green"/>
        </w:rPr>
        <w:t>(</w:t>
      </w:r>
      <w:r w:rsidR="008133DB" w:rsidRPr="008133DB">
        <w:rPr>
          <w:b w:val="0"/>
          <w:bCs w:val="0"/>
          <w:highlight w:val="green"/>
        </w:rPr>
        <w:t>los formatos, los criterios de registro, los catálogos de valores y los indicadores operativos, así como los campos adicionales que resulten necesarios</w:t>
      </w:r>
      <w:r w:rsidR="008133DB" w:rsidRPr="008133DB">
        <w:rPr>
          <w:b w:val="0"/>
          <w:bCs w:val="0"/>
          <w:highlight w:val="green"/>
        </w:rPr>
        <w:t>)</w:t>
      </w:r>
      <w:r w:rsidR="008133DB" w:rsidRPr="008133DB">
        <w:rPr>
          <w:b w:val="0"/>
          <w:bCs w:val="0"/>
          <w:highlight w:val="green"/>
        </w:rPr>
        <w:t xml:space="preserve"> se establece en los documentos normativos institucionales </w:t>
      </w:r>
      <w:r w:rsidR="008133DB" w:rsidRPr="008133DB">
        <w:rPr>
          <w:b w:val="0"/>
          <w:bCs w:val="0"/>
          <w:highlight w:val="green"/>
        </w:rPr>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234A85E7" w:rsidR="00863A18" w:rsidRPr="00923C59" w:rsidRDefault="00641EAF" w:rsidP="00B23382">
      <w:pPr>
        <w:spacing w:before="200" w:after="120" w:line="276" w:lineRule="auto"/>
        <w:rPr>
          <w:rFonts w:ascii="Arial" w:hAnsi="Arial" w:cs="Arial"/>
        </w:rPr>
      </w:pPr>
      <w:r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6709E319" w:rsidR="00863A18" w:rsidRPr="00EC21E7" w:rsidRDefault="00EC21E7" w:rsidP="00B23382">
      <w:pPr>
        <w:pStyle w:val="Prrafodelista"/>
        <w:numPr>
          <w:ilvl w:val="0"/>
          <w:numId w:val="7"/>
        </w:numPr>
        <w:spacing w:after="40" w:line="276" w:lineRule="auto"/>
        <w:ind w:left="567"/>
        <w:rPr>
          <w:b w:val="0"/>
          <w:bCs w:val="0"/>
        </w:rPr>
      </w:pPr>
      <w:r w:rsidRPr="00EC21E7">
        <w:rPr>
          <w:b w:val="0"/>
          <w:bCs w:val="0"/>
          <w:color w:val="000000"/>
        </w:rPr>
        <w:t>Revisiones y aprobación: firmas del propietario del caso de uso, de la Comisión de Gobierno de IA, de la OII y de la INALI, en señal de revisión conforme al numeral 6.4.2;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B4AA5" w14:textId="77777777" w:rsidR="003C019A" w:rsidRDefault="003C019A">
      <w:pPr>
        <w:spacing w:after="0" w:line="240" w:lineRule="auto"/>
      </w:pPr>
      <w:r>
        <w:separator/>
      </w:r>
    </w:p>
  </w:endnote>
  <w:endnote w:type="continuationSeparator" w:id="0">
    <w:p w14:paraId="53516D87" w14:textId="77777777" w:rsidR="003C019A" w:rsidRDefault="003C0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123F0" w14:textId="77777777" w:rsidR="003C019A" w:rsidRDefault="003C019A">
      <w:pPr>
        <w:spacing w:after="0" w:line="240" w:lineRule="auto"/>
      </w:pPr>
      <w:r>
        <w:separator/>
      </w:r>
    </w:p>
  </w:footnote>
  <w:footnote w:type="continuationSeparator" w:id="0">
    <w:p w14:paraId="2EDD8FDA" w14:textId="77777777" w:rsidR="003C019A" w:rsidRDefault="003C019A">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3">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4">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5">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6">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7">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8">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9">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0">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1">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2">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3">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4">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50F6"/>
    <w:rsid w:val="002A5658"/>
    <w:rsid w:val="002B0710"/>
    <w:rsid w:val="002D136C"/>
    <w:rsid w:val="002D1BB4"/>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66BA4"/>
    <w:rsid w:val="003758C8"/>
    <w:rsid w:val="003922D5"/>
    <w:rsid w:val="003A6AB9"/>
    <w:rsid w:val="003A7976"/>
    <w:rsid w:val="003B242A"/>
    <w:rsid w:val="003B6E7C"/>
    <w:rsid w:val="003B7D61"/>
    <w:rsid w:val="003C019A"/>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C3A70"/>
    <w:rsid w:val="005C4042"/>
    <w:rsid w:val="005C67EA"/>
    <w:rsid w:val="005D216F"/>
    <w:rsid w:val="005D5880"/>
    <w:rsid w:val="005D754C"/>
    <w:rsid w:val="005F24C2"/>
    <w:rsid w:val="005F3265"/>
    <w:rsid w:val="0060099A"/>
    <w:rsid w:val="00603B7D"/>
    <w:rsid w:val="00617198"/>
    <w:rsid w:val="00641EAF"/>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4F40"/>
    <w:rsid w:val="007D181A"/>
    <w:rsid w:val="007F4CB9"/>
    <w:rsid w:val="0080359D"/>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7A73"/>
    <w:rsid w:val="00E75696"/>
    <w:rsid w:val="00E810C0"/>
    <w:rsid w:val="00E87621"/>
    <w:rsid w:val="00E9145B"/>
    <w:rsid w:val="00E950CF"/>
    <w:rsid w:val="00EB62D4"/>
    <w:rsid w:val="00EC1C5F"/>
    <w:rsid w:val="00EC21E7"/>
    <w:rsid w:val="00EC2CB2"/>
    <w:rsid w:val="00ED2DC8"/>
    <w:rsid w:val="00ED3F92"/>
    <w:rsid w:val="00ED522E"/>
    <w:rsid w:val="00EE0817"/>
    <w:rsid w:val="00EF2B54"/>
    <w:rsid w:val="00EF6D32"/>
    <w:rsid w:val="00F0082B"/>
    <w:rsid w:val="00F0441E"/>
    <w:rsid w:val="00F12B33"/>
    <w:rsid w:val="00F2135B"/>
    <w:rsid w:val="00F2227C"/>
    <w:rsid w:val="00F33348"/>
    <w:rsid w:val="00F36D39"/>
    <w:rsid w:val="00F378B6"/>
    <w:rsid w:val="00F4172E"/>
    <w:rsid w:val="00F45DDD"/>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9730</TotalTime>
  <Pages>46</Pages>
  <Words>15943</Words>
  <Characters>87692</Characters>
  <Application>Microsoft Office Word</Application>
  <DocSecurity>0</DocSecurity>
  <Lines>730</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232</cp:revision>
  <dcterms:created xsi:type="dcterms:W3CDTF">2026-03-23T21:09:00Z</dcterms:created>
  <dcterms:modified xsi:type="dcterms:W3CDTF">2026-08-28T02:25:00Z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