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66A61B92" w:rsidR="00524301" w:rsidRPr="00641EAF"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lastRenderedPageBreak/>
              <w:t>Aprueba la clasificación de riesgo de todos los SBIA conforme al numeral 6.2.2: de manera individual en los de riesgo alto y en los estratégicos para la entidad, y de manera agregada en los de riesgo aceptable. 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CGTD la relación de las propuestas de riesgo aceptable para su </w:t>
            </w:r>
            <w:r w:rsidRPr="002840F0">
              <w:rPr>
                <w:b w:val="0"/>
                <w:bCs w:val="0"/>
                <w:highlight w:val="green"/>
              </w:rPr>
              <w:lastRenderedPageBreak/>
              <w:t>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lastRenderedPageBreak/>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043148D" w:rsidR="00B34A74" w:rsidRPr="00834FEE" w:rsidRDefault="00B34A74" w:rsidP="00904C72">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Revisa la EIA en materia de cumplimiento normativo. Cuando la revisión comprenda el sentido y el alcance de las normas tributarias o aduaneras, recaba la opinión de la Intendencia Nacional Jurídico Tributaria o de la Intendencia Nacional Jurídico Aduanera, según la materia.</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Para SBIA de riesgo alto, 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w:t>
            </w:r>
            <w:r w:rsidRPr="00236A5F">
              <w:rPr>
                <w:rFonts w:ascii="Arial" w:eastAsia="Arial" w:hAnsi="Arial" w:cs="Arial"/>
                <w:highlight w:val="green"/>
              </w:rPr>
              <w:lastRenderedPageBreak/>
              <w:t>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w:t>
            </w:r>
            <w:r w:rsidRPr="00FA4DEA">
              <w:rPr>
                <w:rFonts w:ascii="Arial" w:hAnsi="Arial" w:cs="Arial"/>
                <w:highlight w:val="green"/>
              </w:rPr>
              <w:lastRenderedPageBreak/>
              <w:t>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46BB88C6"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lastRenderedPageBreak/>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lastRenderedPageBreak/>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3EAE16A7"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EC21E7" w:rsidRPr="00EC21E7">
        <w:rPr>
          <w:rFonts w:ascii="Arial" w:hAnsi="Arial" w:cs="Arial"/>
          <w:color w:val="000000"/>
          <w:highlight w:val="green"/>
        </w:rPr>
        <w:t>El propietario del caso de uso elabora la EIA con la participación del equipo técnico multidisciplinario del SBIA, que se conforma en función de la necesidad y la complejidad de la materia y comprende, cuando menos, a las gerencias de la INSI involucradas en su desarrollo o adquisición. La EIA incorpora los aspectos de negocio (en particular el impacto en el administrado) y los aspectos técnicos. La Comisión de Gobierno de IA, la OII y la INALI la revisan. Concluidas las revisiones, la Comisión de Gobierno de IA eleva la EIA al CGTD para su aprobación conforme al numeral 6.4.1.</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2"/>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w:t>
      </w:r>
      <w:r w:rsidRPr="00EE0817">
        <w:rPr>
          <w:rFonts w:ascii="Arial" w:eastAsia="Arial" w:hAnsi="Arial" w:cs="Arial"/>
          <w:color w:val="000000"/>
          <w:highlight w:val="green"/>
        </w:rPr>
        <w:lastRenderedPageBreak/>
        <w:t xml:space="preserve">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68189DC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reglas de detección de riesgo cuya divulgación comprometa la función de control. La GA, con opinión de la INALI y de la Oficina de Seguridad Informática, </w:t>
      </w:r>
      <w:r w:rsidRPr="005C3A70">
        <w:rPr>
          <w:rFonts w:ascii="Arial" w:eastAsia="Arial" w:hAnsi="Arial" w:cs="Arial"/>
          <w:color w:val="000000"/>
          <w:highlight w:val="lightGray"/>
        </w:rPr>
        <w:lastRenderedPageBreak/>
        <w:t xml:space="preserve">determina la publicabilidad antes de cada liberación mayor; la GDS ejecuta la publicación cuando corresponda. </w:t>
      </w:r>
      <w:r w:rsidR="000F31A1" w:rsidRPr="000F31A1">
        <w:rPr>
          <w:rFonts w:ascii="Arial" w:eastAsia="Arial" w:hAnsi="Arial" w:cs="Arial"/>
          <w:color w:val="000000"/>
          <w:highlight w:val="green"/>
        </w:rPr>
        <w:t>Cuando la determinación comprenda el sentido y el alcance de las normas tributarias o aduaneras, la INALI recaba la opinión de la Intendencia Nacional Jurídico Tributaria o de la Intendencia Nacional Jurídico Aduanera, según la materia.</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3"/>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xml:space="preserve">; y anonimización o seudonimización de datos personales antes del procesamiento. Estos controles constituyen medidas de seguridad digital conforme al artículo 29 del RLIA y se implementan aplicando la NTP-ISO/IEC 27002 y la NTP-ISO 31000 vigentes, </w:t>
      </w:r>
      <w:r>
        <w:rPr>
          <w:rFonts w:ascii="Arial" w:eastAsia="Arial" w:hAnsi="Arial" w:cs="Arial"/>
          <w:color w:val="000000"/>
          <w:highlight w:val="yellow"/>
        </w:rPr>
        <w:lastRenderedPageBreak/>
        <w:t>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4"/>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5"/>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lastRenderedPageBreak/>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6"/>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7"/>
      </w:r>
      <w:r>
        <w:rPr>
          <w:rFonts w:ascii="Arial" w:eastAsia="Arial" w:hAnsi="Arial" w:cs="Arial"/>
          <w:color w:val="000000"/>
          <w:highlight w:val="yellow"/>
        </w:rPr>
        <w:t xml:space="preserve"> y asegura su calidad e integridad</w:t>
      </w:r>
      <w:r>
        <w:rPr>
          <w:rStyle w:val="Refdenotaalpie"/>
        </w:rPr>
        <w:footnoteReference w:id="8"/>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9"/>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28.7 del artículo 28 del Reglamento.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Estrategia Nacional de Gobierno de Datos; en tanto no se emitan, el OGD </w:t>
      </w:r>
      <w:r w:rsidR="00E207DD" w:rsidRPr="00E207DD">
        <w:rPr>
          <w:rFonts w:ascii="Arial" w:eastAsia="Arial" w:hAnsi="Arial" w:cs="Arial"/>
          <w:color w:val="000000"/>
          <w:highlight w:val="green"/>
        </w:rPr>
        <w:lastRenderedPageBreak/>
        <w:t>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0"/>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 xml:space="preserve">Los SBIA de riesgo alto cuentan con mecanismos de explicabilidad que permitan comprender los factores que influyeron en un resultado. Cuando un SBIA intervenga en decisiones que impacten en los derechos de los </w:t>
      </w:r>
      <w:r>
        <w:rPr>
          <w:rFonts w:ascii="Arial" w:hAnsi="Arial" w:cs="Arial"/>
          <w:color w:val="000000"/>
          <w:highlight w:val="cyan"/>
        </w:rPr>
        <w:lastRenderedPageBreak/>
        <w:t>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1"/>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w:t>
      </w:r>
      <w:r w:rsidR="00975D3B" w:rsidRPr="00975D3B">
        <w:rPr>
          <w:rFonts w:ascii="Arial" w:eastAsia="Arial" w:hAnsi="Arial" w:cs="Arial"/>
          <w:color w:val="000000"/>
          <w:highlight w:val="green"/>
        </w:rPr>
        <w:lastRenderedPageBreak/>
        <w:t>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lastRenderedPageBreak/>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 xml:space="preserve">El catálogo institucional de herramientas de IA constituye el subconjunto de </w:t>
      </w:r>
      <w:r>
        <w:rPr>
          <w:rFonts w:ascii="Arial" w:hAnsi="Arial" w:cs="Arial"/>
          <w:color w:val="000000"/>
          <w:highlight w:val="cyan"/>
        </w:rPr>
        <w:lastRenderedPageBreak/>
        <w:t>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77777777"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sistemas basados en IA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17A39E4D"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2"/>
      </w:r>
      <w:r>
        <w:rPr>
          <w:rFonts w:ascii="Arial" w:eastAsia="Arial" w:hAnsi="Arial" w:cs="Arial"/>
          <w:color w:val="000000"/>
          <w:highlight w:val="yellow"/>
        </w:rPr>
        <w:t>.</w:t>
      </w:r>
    </w:p>
    <w:p w14:paraId="60F5B515" w14:textId="4FEE0E59"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3"/>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Reglamento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4"/>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 xml:space="preserve">Las disposiciones de este numeral establecen la verificación del componente de IA dentro de los instrumentos de gestión vigentes. La opinión de la Comisión de Gobierno de IA no constituye un requisito adicional ni modifica los procesos, formatos, </w:t>
      </w:r>
      <w:r w:rsidRPr="00B10C11">
        <w:rPr>
          <w:rFonts w:ascii="Arial" w:eastAsia="Arial" w:hAnsi="Arial" w:cs="Arial"/>
          <w:color w:val="000000"/>
          <w:highlight w:val="green"/>
        </w:rPr>
        <w:lastRenderedPageBreak/>
        <w:t>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 xml:space="preserve">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w:t>
      </w:r>
      <w:r w:rsidR="001E5BAD" w:rsidRPr="001E5BAD">
        <w:rPr>
          <w:rFonts w:ascii="Arial" w:hAnsi="Arial" w:cs="Arial"/>
          <w:highlight w:val="green"/>
        </w:rPr>
        <w:lastRenderedPageBreak/>
        <w:t>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 xml:space="preserve">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w:t>
      </w:r>
      <w:r w:rsidRPr="00670027">
        <w:rPr>
          <w:rFonts w:ascii="Arial" w:hAnsi="Arial" w:cs="Arial"/>
          <w:highlight w:val="lightGray"/>
        </w:rPr>
        <w:lastRenderedPageBreak/>
        <w:t>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w:t>
      </w:r>
      <w:r>
        <w:rPr>
          <w:b w:val="0"/>
          <w:bCs w:val="0"/>
          <w:highlight w:val="yellow"/>
        </w:rPr>
        <w:lastRenderedPageBreak/>
        <w:t xml:space="preserve">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234A85E7" w:rsidR="00863A18" w:rsidRPr="00923C59" w:rsidRDefault="00641EAF" w:rsidP="00B23382">
      <w:pPr>
        <w:spacing w:before="200" w:after="120" w:line="276" w:lineRule="auto"/>
        <w:rPr>
          <w:rFonts w:ascii="Arial" w:hAnsi="Arial" w:cs="Arial"/>
        </w:rPr>
      </w:pPr>
      <w:r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6709E319" w:rsidR="00863A18" w:rsidRPr="00EC21E7" w:rsidRDefault="00EC21E7" w:rsidP="00B23382">
      <w:pPr>
        <w:pStyle w:val="Prrafodelista"/>
        <w:numPr>
          <w:ilvl w:val="0"/>
          <w:numId w:val="7"/>
        </w:numPr>
        <w:spacing w:after="40" w:line="276" w:lineRule="auto"/>
        <w:ind w:left="567"/>
        <w:rPr>
          <w:b w:val="0"/>
          <w:bCs w:val="0"/>
        </w:rPr>
      </w:pPr>
      <w:r w:rsidRPr="00EC21E7">
        <w:rPr>
          <w:b w:val="0"/>
          <w:bCs w:val="0"/>
          <w:color w:val="000000"/>
        </w:rPr>
        <w:t>Revisiones y aprobación: firmas del propietario del caso de uso, de la Comisión de Gobierno de IA, de la OII y de la INALI, en señal de revisión conforme al numeral 6.4.2;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6882B" w14:textId="77777777" w:rsidR="00866EC5" w:rsidRDefault="00866EC5">
      <w:pPr>
        <w:spacing w:after="0" w:line="240" w:lineRule="auto"/>
      </w:pPr>
      <w:r>
        <w:separator/>
      </w:r>
    </w:p>
  </w:endnote>
  <w:endnote w:type="continuationSeparator" w:id="0">
    <w:p w14:paraId="7A8B1BB6" w14:textId="77777777" w:rsidR="00866EC5" w:rsidRDefault="00866E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2A811" w14:textId="77777777" w:rsidR="00866EC5" w:rsidRDefault="00866EC5">
      <w:pPr>
        <w:spacing w:after="0" w:line="240" w:lineRule="auto"/>
      </w:pPr>
      <w:r>
        <w:separator/>
      </w:r>
    </w:p>
  </w:footnote>
  <w:footnote w:type="continuationSeparator" w:id="0">
    <w:p w14:paraId="56035CFC" w14:textId="77777777" w:rsidR="00866EC5" w:rsidRDefault="00866EC5">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3">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4">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5">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6">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7">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8">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9">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0">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1">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2">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3">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4">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609F8"/>
    <w:rsid w:val="00164552"/>
    <w:rsid w:val="00166F8B"/>
    <w:rsid w:val="00171767"/>
    <w:rsid w:val="00174519"/>
    <w:rsid w:val="00180A95"/>
    <w:rsid w:val="0018147B"/>
    <w:rsid w:val="0018222F"/>
    <w:rsid w:val="001A5262"/>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66BA4"/>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C78"/>
    <w:rsid w:val="00570612"/>
    <w:rsid w:val="00577C4C"/>
    <w:rsid w:val="00590BAB"/>
    <w:rsid w:val="00594919"/>
    <w:rsid w:val="005B30EE"/>
    <w:rsid w:val="005C3A70"/>
    <w:rsid w:val="005C4042"/>
    <w:rsid w:val="005C67EA"/>
    <w:rsid w:val="005D216F"/>
    <w:rsid w:val="005D5880"/>
    <w:rsid w:val="005D754C"/>
    <w:rsid w:val="005F24C2"/>
    <w:rsid w:val="005F3265"/>
    <w:rsid w:val="0060099A"/>
    <w:rsid w:val="00603B7D"/>
    <w:rsid w:val="00617198"/>
    <w:rsid w:val="00641EAF"/>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4F40"/>
    <w:rsid w:val="007D181A"/>
    <w:rsid w:val="007F4CB9"/>
    <w:rsid w:val="0080359D"/>
    <w:rsid w:val="00807C98"/>
    <w:rsid w:val="0081311B"/>
    <w:rsid w:val="00814A4B"/>
    <w:rsid w:val="008326EA"/>
    <w:rsid w:val="00833450"/>
    <w:rsid w:val="00833CDE"/>
    <w:rsid w:val="00834FEE"/>
    <w:rsid w:val="00836DA1"/>
    <w:rsid w:val="0084436F"/>
    <w:rsid w:val="008540A5"/>
    <w:rsid w:val="00863A18"/>
    <w:rsid w:val="00866EC5"/>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67A73"/>
    <w:rsid w:val="00E75696"/>
    <w:rsid w:val="00E810C0"/>
    <w:rsid w:val="00E87621"/>
    <w:rsid w:val="00E9145B"/>
    <w:rsid w:val="00E950CF"/>
    <w:rsid w:val="00EB62D4"/>
    <w:rsid w:val="00EC1C5F"/>
    <w:rsid w:val="00EC21E7"/>
    <w:rsid w:val="00EC2CB2"/>
    <w:rsid w:val="00ED2DC8"/>
    <w:rsid w:val="00ED3F92"/>
    <w:rsid w:val="00ED522E"/>
    <w:rsid w:val="00EE0817"/>
    <w:rsid w:val="00EF2B54"/>
    <w:rsid w:val="00EF6D32"/>
    <w:rsid w:val="00F0082B"/>
    <w:rsid w:val="00F0441E"/>
    <w:rsid w:val="00F12B33"/>
    <w:rsid w:val="00F2135B"/>
    <w:rsid w:val="00F2227C"/>
    <w:rsid w:val="00F33348"/>
    <w:rsid w:val="00F36D39"/>
    <w:rsid w:val="00F378B6"/>
    <w:rsid w:val="00F45DDD"/>
    <w:rsid w:val="00F80506"/>
    <w:rsid w:val="00F9075F"/>
    <w:rsid w:val="00F91DE2"/>
    <w:rsid w:val="00F931FB"/>
    <w:rsid w:val="00F936FD"/>
    <w:rsid w:val="00FA09F7"/>
    <w:rsid w:val="00FA4DEA"/>
    <w:rsid w:val="00FA5FEB"/>
    <w:rsid w:val="00FB439A"/>
    <w:rsid w:val="00FB7434"/>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9167</TotalTime>
  <Pages>46</Pages>
  <Words>15414</Words>
  <Characters>84780</Characters>
  <Application>Microsoft Office Word</Application>
  <DocSecurity>0</DocSecurity>
  <Lines>706</Lines>
  <Paragraphs>199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223</cp:revision>
  <dcterms:created xsi:type="dcterms:W3CDTF">2026-03-23T21:09:00Z</dcterms:created>
  <dcterms:modified xsi:type="dcterms:W3CDTF">2026-08-27T15:31:00Z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