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3500C9E2"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7A4DB512"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122868CE"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334964A7"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21A72EE4"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25BE9A9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1C3DBB2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050-2019/SUNAT (06/03/2019), que aprueba los documentos del Sistema de Gestión de Seguridad de la Información de la SUNAT, entre ellos el Manual de Políticas del Sistema de Gestión de Seguridad de la Información (SGSI-MA-03).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r>
      <w:r>
        <w:rPr>
          <w:b w:val="0"/>
          <w:bCs w:val="0"/>
          <w:color w:val="000000"/>
          <w:highlight w:val="yellow"/>
        </w:rPr>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r>
      <w:r>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2D4ED06C" w14:textId="77777777" w:rsidR="00A46D47" w:rsidRPr="00A46D47" w:rsidRDefault="00A46D47" w:rsidP="00A46D47">
      <w:pPr>
        <w:spacing w:before="0" w:after="60" w:line="276" w:lineRule="auto"/>
        <w:ind w:left="1276" w:hanging="720"/>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r>
      <w:r>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r>
      <w:r>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6F7395F0" w14:textId="77777777" w:rsidR="00863A18" w:rsidRPr="00923C59" w:rsidRDefault="00863A18" w:rsidP="00B23382">
      <w:pPr>
        <w:pStyle w:val="SubtituloDONI"/>
        <w:spacing w:line="276" w:lineRule="auto"/>
        <w:ind w:left="851"/>
      </w:pPr>
      <w:r>
        <w:t>5.4</w:t>
      </w:r>
      <w:r>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lastRenderedPageBreak/>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sidRPr="00F775C3">
              <w:rPr>
                <w:b w:val="0"/>
                <w:bCs w:val="0"/>
                <w:highlight w:val="green"/>
              </w:rPr>
              <w:t xml:space="preserve">Aprueba los casos de uso. Valida el Plan de Acción de Inteligencia Artificial, conforme al numeral 5.3 del artículo 5 de la Resolución Ministerial N.° 152-2026-PCM y al numeral 7.11 de la presente </w:t>
            </w:r>
            <w:r w:rsidRPr="00F775C3">
              <w:rPr>
                <w:b w:val="0"/>
                <w:bCs w:val="0"/>
                <w:highlight w:val="green"/>
              </w:rPr>
              <w:t>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lastRenderedPageBreak/>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Supervisa y evalúa que los modelos y algoritmos de los SBIA de riesgo alto cumplan los estándares de calidad y ética aplicables, conforme al numeral 6.5 del artículo 6 de la Resolución Ministerial N.° 152-2026-PCM. La ejerce en coordinación con </w:t>
            </w:r>
            <w:r>
              <w:rPr>
                <w:b w:val="0"/>
                <w:bCs w:val="0"/>
              </w:rPr>
              <w:lastRenderedPageBreak/>
              <w:t>las unidades de organización y con los propietarios de los casos de uso, y se apoya en las verificaciones previstas en los numerales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lastRenderedPageBreak/>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Centro Nacional de Seguridad Digital (CNSD) los incidentes de seguridad digital que involucren un SBIA y los informa a la máxima autoridad administrativa de la </w:t>
            </w:r>
            <w:r>
              <w:rPr>
                <w:b w:val="0"/>
                <w:bCs w:val="0"/>
                <w:color w:val="000000"/>
                <w:highlight w:val="green"/>
              </w:rPr>
              <w:lastRenderedPageBreak/>
              <w:t>entidad, conforme a la Directiva N.° 001-2023-PCM/SGTD. Informa al CGTD los que resulten críticos.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aduaneras, se pronuncia la Intendencia Nacional Jurídico Tributaria o la Intendencia Nacional Jurídico Aduanera, según la </w:t>
            </w:r>
            <w:r>
              <w:rPr>
                <w:b w:val="0"/>
                <w:bCs w:val="0"/>
                <w:highlight w:val="green"/>
              </w:rPr>
              <w:lastRenderedPageBreak/>
              <w:t>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lastRenderedPageBreak/>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7346B5E1"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B428DCC" w14:textId="77777777" w:rsidR="003D4DEA" w:rsidRPr="003D4DEA" w:rsidRDefault="003D4DEA" w:rsidP="003D4DEA">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B34A74" w14:paraId="5EAE178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BC72C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8CD1E7"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5D640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54D2797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2989C04A"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lastRenderedPageBreak/>
              <w:t>Promueve la adopción de la inteligencia artificial en el ámbito de las personas, conforme al numeral 6.13.3.</w:t>
            </w:r>
          </w:p>
          <w:p w14:paraId="24A2A15D"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0E153565"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B10861" w14:paraId="4A7909D3" w14:textId="77777777">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C9FDA5" w14:textId="77777777" w:rsidR="00B10861" w:rsidRDefault="00000000">
            <w:pPr>
              <w:spacing w:before="20" w:after="20" w:line="276" w:lineRule="auto"/>
              <w:rPr>
                <w:rFonts w:ascii="Arial" w:hAnsi="Arial" w:cs="Arial"/>
              </w:rPr>
            </w:pPr>
            <w:r>
              <w:rPr>
                <w:rFonts w:ascii="Arial" w:eastAsia="Arial" w:hAnsi="Arial" w:cs="Arial"/>
                <w:b/>
                <w:bCs/>
              </w:rPr>
              <w:lastRenderedPageBreak/>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148E16" w14:textId="77777777" w:rsidR="00B10861" w:rsidRDefault="00000000">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9BD874"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BCBBABA"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71C72A37"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AB661D"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r w:rsidR="00B10861" w14:paraId="5CEFD7CC" w14:textId="77777777">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7AD2B3" w14:textId="77777777" w:rsidR="00B10861" w:rsidRDefault="00000000">
            <w:pPr>
              <w:spacing w:before="20" w:after="20" w:line="276" w:lineRule="auto"/>
              <w:rPr>
                <w:rFonts w:ascii="Arial" w:hAnsi="Arial" w:cs="Arial"/>
              </w:rPr>
            </w:pPr>
            <w:r>
              <w:rPr>
                <w:rFonts w:ascii="Arial" w:eastAsia="Arial" w:hAnsi="Arial" w:cs="Arial"/>
                <w:b/>
                <w:bCs/>
              </w:rPr>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F1E350" w14:textId="77777777" w:rsidR="00B10861" w:rsidRDefault="00000000">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AA3613"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00E951B8"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11F0B904"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Cuando la materia tenga incidencia tributaria, coordina con la </w:t>
            </w:r>
            <w:r>
              <w:rPr>
                <w:b w:val="0"/>
                <w:bCs w:val="0"/>
              </w:rPr>
              <w:lastRenderedPageBreak/>
              <w:t>Intendencia Nacional Jurídico Tributaria, conforme al literal c) del citado artículo.</w:t>
            </w:r>
          </w:p>
          <w:p w14:paraId="5AF698A2"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414A5D73"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783690D6" w14:textId="77777777" w:rsidR="00863A18" w:rsidRPr="00923C59" w:rsidRDefault="003D4DEA" w:rsidP="00B23382">
      <w:pPr>
        <w:pStyle w:val="Ttulo1"/>
        <w:spacing w:line="276" w:lineRule="auto"/>
        <w:rPr>
          <w:rFonts w:cs="Arial"/>
          <w:szCs w:val="22"/>
        </w:rPr>
      </w:pPr>
      <w:bookmarkStart w:id="6" w:name="_Toc235003966"/>
      <w:r>
        <w:rPr>
          <w:rFonts w:cs="Arial"/>
          <w:bCs/>
          <w:color w:val="000000"/>
          <w:szCs w:val="22"/>
        </w:rPr>
        <w:lastRenderedPageBreak/>
        <w:br w:type="textWrapping" w:clear="all"/>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r>
      <w:r>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w:t>
            </w:r>
            <w:r>
              <w:rPr>
                <w:rFonts w:ascii="Arial" w:eastAsia="Arial" w:hAnsi="Arial" w:cs="Arial"/>
                <w:highlight w:val="green"/>
              </w:rPr>
              <w:lastRenderedPageBreak/>
              <w:t>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 xml:space="preserve">Las gerencias competentes de la INSI ejecutan el desarrollo del SBIA o gestionan su adquisición. La Oficina de Seguridad Informática evalúa y propone los </w:t>
            </w:r>
            <w:r>
              <w:rPr>
                <w:rFonts w:ascii="Arial" w:eastAsia="Arial" w:hAnsi="Arial" w:cs="Arial"/>
                <w:highlight w:val="green"/>
              </w:rPr>
              <w:lastRenderedPageBreak/>
              <w:t>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 xml:space="preserve">En desarrollo interno: Conformidad de Gerencia de Desarrollo de Sistemas (INSI). En adquisición: </w:t>
            </w:r>
            <w:r>
              <w:rPr>
                <w:rFonts w:ascii="Arial" w:eastAsia="Arial" w:hAnsi="Arial" w:cs="Arial"/>
              </w:rPr>
              <w:lastRenderedPageBreak/>
              <w:t>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w:t>
            </w:r>
            <w:r>
              <w:rPr>
                <w:rFonts w:ascii="Arial" w:hAnsi="Arial" w:cs="Arial"/>
                <w:highlight w:val="green"/>
              </w:rPr>
              <w:lastRenderedPageBreak/>
              <w:t>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 xml:space="preserve">El SBIA opera bajo la supervisión humana y el monitoreo previstos </w:t>
            </w:r>
            <w:r>
              <w:rPr>
                <w:rFonts w:ascii="Arial" w:eastAsia="Arial" w:hAnsi="Arial" w:cs="Arial"/>
                <w:highlight w:val="yellow"/>
              </w:rPr>
              <w:lastRenderedPageBreak/>
              <w:t>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r>
      <w:r>
        <w:rPr>
          <w:rFonts w:ascii="Arial" w:eastAsia="Arial" w:hAnsi="Arial" w:cs="Arial"/>
          <w:color w:val="000000"/>
          <w:highlight w:val="green"/>
        </w:rPr>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w:t>
      </w:r>
      <w:r>
        <w:rPr>
          <w:rFonts w:ascii="Arial" w:eastAsia="Arial" w:hAnsi="Arial" w:cs="Arial"/>
          <w:color w:val="000000"/>
          <w:highlight w:val="green"/>
        </w:rPr>
        <w:lastRenderedPageBreak/>
        <w:t>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proofErr w:type="gramStart"/>
      <w:r>
        <w:rPr>
          <w:rFonts w:ascii="Arial" w:eastAsia="Arial" w:hAnsi="Arial" w:cs="Arial"/>
          <w:color w:val="000000"/>
          <w:highlight w:val="green"/>
        </w:rPr>
        <w:t xml:space="preserve">6.1.6</w:t>
        <w:tab/>
        <w:t xml:space="preserve">Todo</w:t>
      </w:r>
      <w:proofErr w:type="gramEnd"/>
      <w:r>
        <w:rPr>
          <w:rFonts w:ascii="Arial" w:eastAsia="Arial" w:hAnsi="Arial" w:cs="Arial"/>
          <w:color w:val="000000"/>
          <w:highlight w:val="green"/>
        </w:rPr>
        <w:t xml:space="preserve">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r>
      <w:r>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6.2.2</w:t>
      </w:r>
      <w:r>
        <w:rPr>
          <w:rFonts w:ascii="Arial" w:eastAsia="Arial" w:hAnsi="Arial" w:cs="Arial"/>
          <w:color w:val="000000"/>
          <w:highlight w:val="green"/>
        </w:rPr>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lastRenderedPageBreak/>
        <w:t>6.2.6</w:t>
      </w:r>
      <w:r>
        <w:rPr>
          <w:rFonts w:ascii="Arial" w:eastAsia="Arial" w:hAnsi="Arial" w:cs="Arial"/>
          <w:color w:val="000000"/>
          <w:highlight w:val="green"/>
        </w:rPr>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r>
      <w:r>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r>
      <w:r>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diseño, la operación y la seguridad de los SBIA</w:t>
      </w:r>
    </w:p>
    <w:p w14:paraId="7D1C8F42"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proofErr w:type="spellStart"/>
      <w:r>
        <w:rPr>
          <w:rFonts w:ascii="Arial" w:eastAsia="Arial" w:hAnsi="Arial" w:cs="Arial"/>
          <w:color w:val="000000"/>
          <w:highlight w:val="green"/>
        </w:rPr>
        <w:t>agénticos</w:t>
      </w:r>
      <w:proofErr w:type="spellEnd"/>
      <w:r>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w:t>
        <w:tab/>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 xml:space="preserve">Los SBIA que ejecuten acciones sobre sistemas, datos o procesos con algún grado de autonomía incorporan mecanismos de autorización, restricción y </w:t>
      </w:r>
      <w:r>
        <w:rPr>
          <w:rFonts w:ascii="Arial" w:eastAsia="Arial" w:hAnsi="Arial" w:cs="Arial"/>
          <w:color w:val="000000"/>
          <w:highlight w:val="green"/>
        </w:rPr>
        <w:lastRenderedPageBreak/>
        <w:t>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 xml:space="preserve">6.5.6</w:t>
        <w:tab/>
        <w:t xml:space="preserve">Los SBIA generativos que utilicen información institucional incorporan mecanismos que vinculen los resultados generados con sus fuentes de información autorizadas y vigentes. Esta trazabilidad sustenta la explicabilidad exigida en el numeral 6.9.3.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r>
      <w:r>
        <w:rPr>
          <w:rFonts w:ascii="Arial" w:eastAsia="Arial" w:hAnsi="Arial" w:cs="Arial"/>
          <w:color w:val="000000"/>
          <w:highlight w:val="green"/>
        </w:rPr>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r>
      <w:r>
        <w:rPr>
          <w:rFonts w:ascii="Arial" w:eastAsia="Arial" w:hAnsi="Arial" w:cs="Arial"/>
          <w:color w:val="000000"/>
          <w:highlight w:val="green"/>
        </w:rPr>
        <w:tab/>
        <w:t xml:space="preserve">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w:t>
      </w:r>
      <w:r>
        <w:rPr>
          <w:rFonts w:ascii="Arial" w:eastAsia="Arial" w:hAnsi="Arial" w:cs="Arial"/>
          <w:color w:val="000000"/>
          <w:highlight w:val="green"/>
        </w:rPr>
        <w:lastRenderedPageBreak/>
        <w:t>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6.5.9</w:t>
        <w:tab/>
        <w:t xml:space="preserve">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3E908127" w14:textId="77777777" w:rsidR="00863A18" w:rsidRDefault="00863A18" w:rsidP="00B23382">
      <w:pPr>
        <w:pStyle w:val="SubtituloDONI"/>
        <w:spacing w:line="276" w:lineRule="auto"/>
        <w:ind w:left="851"/>
      </w:pPr>
      <w:r>
        <w:t>6.6</w:t>
      </w:r>
      <w:r>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6.6.3</w:t>
      </w:r>
      <w:r>
        <w:rPr>
          <w:rFonts w:ascii="Arial" w:eastAsia="Arial" w:hAnsi="Arial" w:cs="Arial"/>
          <w:color w:val="000000"/>
        </w:rPr>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796A4DE8" w14:textId="77777777" w:rsidR="00863A18" w:rsidRPr="00923C59" w:rsidRDefault="00863A18" w:rsidP="00B23382">
      <w:pPr>
        <w:pStyle w:val="SubtituloDONI"/>
        <w:spacing w:line="276" w:lineRule="auto"/>
        <w:ind w:left="851"/>
      </w:pPr>
      <w:r>
        <w:t>6.7</w:t>
      </w:r>
      <w:r>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 xml:space="preserve">Los SBIA cumplen la Política de Seguridad de la Información (SGSI-PO-01) y el Manual de Políticas del Sistema de Gestión de Seguridad de la Información (SGSI-MA-03) de la SUNAT, en sus versiones vigentes. El Manual de Políticas </w:t>
      </w:r>
      <w:proofErr w:type="gramStart"/>
      <w:r>
        <w:rPr>
          <w:rFonts w:ascii="Arial" w:eastAsia="Arial" w:hAnsi="Arial" w:cs="Arial"/>
          <w:color w:val="000000"/>
          <w:highlight w:val="green"/>
        </w:rPr>
        <w:t>es de aplicación</w:t>
      </w:r>
      <w:proofErr w:type="gramEnd"/>
      <w:r>
        <w:rPr>
          <w:rFonts w:ascii="Arial" w:eastAsia="Arial" w:hAnsi="Arial" w:cs="Arial"/>
          <w:color w:val="000000"/>
          <w:highlight w:val="green"/>
        </w:rPr>
        <w:t xml:space="preserve">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lastRenderedPageBreak/>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w:t>
      </w:r>
      <w:r>
        <w:rPr>
          <w:rFonts w:ascii="Arial" w:eastAsia="Arial" w:hAnsi="Arial" w:cs="Arial"/>
          <w:color w:val="000000"/>
          <w:highlight w:val="cyan"/>
        </w:rPr>
        <w:lastRenderedPageBreak/>
        <w:t xml:space="preserve">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proofErr w:type="gramStart"/>
      <w:r>
        <w:rPr>
          <w:rFonts w:ascii="Arial" w:eastAsia="Arial" w:hAnsi="Arial" w:cs="Arial"/>
          <w:color w:val="000000"/>
          <w:highlight w:val="green"/>
        </w:rPr>
        <w:t xml:space="preserve">6.7.8</w:t>
        <w:tab/>
        <w:t xml:space="preserve">El</w:t>
      </w:r>
      <w:proofErr w:type="gramEnd"/>
      <w:r>
        <w:rPr>
          <w:rFonts w:ascii="Arial" w:eastAsia="Arial" w:hAnsi="Arial" w:cs="Arial"/>
          <w:color w:val="000000"/>
          <w:highlight w:val="green"/>
        </w:rPr>
        <w:t xml:space="preserve">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w:t>
      </w:r>
      <w:r>
        <w:rPr>
          <w:rFonts w:ascii="Arial" w:eastAsia="Arial" w:hAnsi="Arial" w:cs="Arial"/>
          <w:color w:val="000000"/>
          <w:highlight w:val="green"/>
        </w:rPr>
        <w:lastRenderedPageBreak/>
        <w:t>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5001C09F" w14:textId="77777777" w:rsidR="00931E16" w:rsidRDefault="00931E16" w:rsidP="00AF13D8">
      <w:pPr>
        <w:pStyle w:val="SubtituloDONI"/>
        <w:spacing w:line="276" w:lineRule="auto"/>
        <w:ind w:left="851"/>
      </w:pPr>
      <w:r>
        <w:t>6.8</w:t>
      </w:r>
      <w:r>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w:t>
        <w:tab/>
        <w:t xml:space="preserve">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w:t>
      </w:r>
      <w:r>
        <w:rPr>
          <w:rFonts w:ascii="Arial" w:eastAsia="Arial" w:hAnsi="Arial" w:cs="Arial"/>
          <w:color w:val="000000"/>
          <w:highlight w:val="green"/>
        </w:rPr>
        <w:lastRenderedPageBreak/>
        <w:t>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6.8.6</w:t>
        <w:tab/>
        <w:t xml:space="preserve">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r>
      <w:r>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 xml:space="preserve">Los SBIA de riesgo alto cuentan con mecanismos de explicabilidad que permitan comprender los factores que influyeron en un resultado. Cuando un </w:t>
      </w:r>
      <w:r>
        <w:rPr>
          <w:rFonts w:ascii="Arial" w:hAnsi="Arial" w:cs="Arial"/>
          <w:color w:val="000000"/>
          <w:highlight w:val="cyan"/>
        </w:rPr>
        <w:lastRenderedPageBreak/>
        <w:t>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6.9.5</w:t>
        <w:tab/>
        <w:t xml:space="preserve">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lastRenderedPageBreak/>
        <w:t>6.10</w:t>
      </w:r>
      <w:r>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Cuando el plan de monitoreo prevea vigilancia automatizada, esta </w:t>
      </w:r>
      <w:proofErr w:type="spellStart"/>
      <w:r>
        <w:rPr>
          <w:rFonts w:ascii="Arial" w:eastAsia="Arial" w:hAnsi="Arial" w:cs="Arial"/>
          <w:color w:val="000000"/>
          <w:highlight w:val="green"/>
        </w:rPr>
        <w:t>opera</w:t>
      </w:r>
      <w:proofErr w:type="spellEnd"/>
      <w:r>
        <w:rPr>
          <w:rFonts w:ascii="Arial" w:eastAsia="Arial" w:hAnsi="Arial" w:cs="Arial"/>
          <w:color w:val="000000"/>
          <w:highlight w:val="green"/>
        </w:rPr>
        <w:t xml:space="preserve">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w:t>
      </w:r>
      <w:r>
        <w:rPr>
          <w:rFonts w:ascii="Arial" w:eastAsia="Arial" w:hAnsi="Arial" w:cs="Arial"/>
          <w:color w:val="000000"/>
          <w:highlight w:val="green"/>
        </w:rPr>
        <w:lastRenderedPageBreak/>
        <w:t>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 xml:space="preserve">6.10.4</w:t>
        <w:tab/>
        <w:t xml:space="preserve">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w:t>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 xml:space="preserve">6.10.6</w:t>
        <w:tab/>
        <w:t xml:space="preserve">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r>
      <w:r>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 xml:space="preserve">Ninguna unidad de organización desarrolla, adquiere, contrata, implementa u opera SBIA fuera del límite de la presente directiva, independientemente de su </w:t>
      </w:r>
      <w:r>
        <w:rPr>
          <w:rFonts w:ascii="Arial" w:eastAsia="Arial" w:hAnsi="Arial" w:cs="Arial"/>
          <w:color w:val="000000"/>
          <w:highlight w:val="green"/>
        </w:rPr>
        <w:lastRenderedPageBreak/>
        <w:t>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0C0DE66" w14:textId="77777777" w:rsidR="00863A18" w:rsidRPr="00923C59" w:rsidRDefault="00863A18" w:rsidP="00B23382">
      <w:pPr>
        <w:pStyle w:val="SubtituloDONI"/>
        <w:spacing w:line="276" w:lineRule="auto"/>
        <w:ind w:left="851"/>
      </w:pPr>
      <w:r>
        <w:t>6.12</w:t>
      </w:r>
      <w:r>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 xml:space="preserve">La unidad de organización que formula los términos de referencia o las especificaciones técnicas incorpora en ellos las cláusulas que el contrato debe contener sobre: (a) protección de datos y reserva tributaria; (b) transparencia </w:t>
      </w:r>
      <w:r>
        <w:rPr>
          <w:rFonts w:ascii="Arial" w:eastAsia="Arial" w:hAnsi="Arial" w:cs="Arial"/>
          <w:color w:val="000000"/>
          <w:highlight w:val="green"/>
        </w:rPr>
        <w:lastRenderedPageBreak/>
        <w:t>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 xml:space="preserve">6.13.1</w:t>
        <w:tab/>
        <w:t xml:space="preserve">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 xml:space="preserve">6.13.2</w:t>
        <w:tab/>
        <w:t xml:space="preserve">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 xml:space="preserve">6.13.3</w:t>
        <w:tab/>
        <w:t xml:space="preserve">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w:t>
      </w:r>
      <w:r>
        <w:rPr>
          <w:rFonts w:ascii="Arial" w:eastAsia="Arial" w:hAnsi="Arial" w:cs="Arial"/>
          <w:color w:val="000000"/>
          <w:highlight w:val="lightGray"/>
        </w:rPr>
        <w:lastRenderedPageBreak/>
        <w:t>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 xml:space="preserve">6.15</w:t>
        <w:tab/>
        <w:t xml:space="preserve">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w:t>
        <w:tab/>
        <w:t xml:space="preserve">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w:t>
      </w:r>
      <w:r>
        <w:rPr>
          <w:rFonts w:ascii="Arial" w:hAnsi="Arial" w:cs="Arial"/>
          <w:highlight w:val="green"/>
        </w:rPr>
        <w:lastRenderedPageBreak/>
        <w:t>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 xml:space="preserve">6.15.2</w:t>
        <w:tab/>
        <w:t xml:space="preserve">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 xml:space="preserve">6.15.3</w:t>
        <w:tab/>
        <w:t xml:space="preserve">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6.15.4</w:t>
        <w:tab/>
        <w:t xml:space="preserve">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lastRenderedPageBreak/>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 xml:space="preserve">6.15.5</w:t>
        <w:tab/>
        <w:t xml:space="preserve">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 xml:space="preserve">6.15.6</w:t>
        <w:tab/>
        <w:t xml:space="preserve">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 xml:space="preserve">6.15.7</w:t>
        <w:tab/>
        <w:t xml:space="preserve">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r>
      <w:r>
        <w:rPr>
          <w:rFonts w:ascii="Arial" w:hAnsi="Arial" w:cs="Arial"/>
          <w:highlight w:val="green"/>
        </w:rPr>
        <w:t xml:space="preserve">6.15.8</w:t>
        <w:tab/>
        <w:t xml:space="preserve">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6.15.9</w:t>
        <w:tab/>
        <w:t xml:space="preserve">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6.15.10</w:t>
        <w:tab/>
        <w:t xml:space="preserve">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sidR="0012096A" w:rsidRPr="0012096A">
        <w:rPr>
          <w:b w:val="0"/>
          <w:bCs w:val="0"/>
          <w:highlight w:val="green"/>
        </w:rPr>
        <w:t>En tanto no se designe al OIA, el Coordinador designado conforme al numeral 7.3 ejerce las funciones de coordinación técnica en materia de IA.</w:t>
      </w:r>
      <w:r w:rsidR="0012096A">
        <w:rPr>
          <w:b w:val="0"/>
          <w:bCs w:val="0"/>
        </w:rPr>
        <w:t xml:space="preserve"> </w:t>
      </w:r>
      <w:r>
        <w:rPr>
          <w:b w:val="0"/>
          <w:bCs w:val="0"/>
          <w:highlight w:val="green"/>
        </w:rPr>
        <w:t xml:space="preserve">Designado el OIA, la coordinación de la Comisión de Gobierno de IA recae en él, salvo que los lineamientos de la SGTD </w:t>
      </w:r>
      <w:r>
        <w:rPr>
          <w:b w:val="0"/>
          <w:bCs w:val="0"/>
          <w:highlight w:val="green"/>
        </w:rPr>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 xml:space="preserve">7.12</w:t>
        <w:tab/>
        <w:t xml:space="preserve">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r>
      <w:r>
        <w:rPr>
          <w:b w:val="0"/>
          <w:bCs w:val="0"/>
        </w:rPr>
        <w:tab/>
      </w:r>
      <w:r w:rsidR="00E41A15" w:rsidRPr="00E41A15">
        <w:rPr>
          <w:b w:val="0"/>
          <w:bCs w:val="0"/>
        </w:rPr>
        <w:t xml:space="preserve">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w:t>
      </w:r>
      <w:r w:rsidR="00E41A15" w:rsidRPr="00E41A15">
        <w:rPr>
          <w:b w:val="0"/>
          <w:bCs w:val="0"/>
        </w:rPr>
        <w:t>artículo.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Pr>
          <w:rFonts w:ascii="Arial" w:eastAsia="Arial" w:hAnsi="Arial" w:cs="Arial"/>
          <w:b/>
          <w:bCs/>
          <w:color w:val="000000"/>
        </w:rPr>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65FB3"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B5193" w14:textId="77777777" w:rsidR="002073F3" w:rsidRDefault="002073F3">
      <w:pPr>
        <w:spacing w:after="0" w:line="240" w:lineRule="auto"/>
      </w:pPr>
      <w:r>
        <w:separator/>
      </w:r>
    </w:p>
  </w:endnote>
  <w:endnote w:type="continuationSeparator" w:id="0">
    <w:p w14:paraId="3003C954" w14:textId="77777777" w:rsidR="002073F3" w:rsidRDefault="00207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E2BD3" w14:textId="77777777" w:rsidR="002073F3" w:rsidRDefault="002073F3">
      <w:pPr>
        <w:spacing w:after="0" w:line="240" w:lineRule="auto"/>
      </w:pPr>
      <w:r>
        <w:separator/>
      </w:r>
    </w:p>
  </w:footnote>
  <w:footnote w:type="continuationSeparator" w:id="0">
    <w:p w14:paraId="532F4124" w14:textId="77777777" w:rsidR="002073F3" w:rsidRDefault="002073F3">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10687</TotalTime>
  <Pages>55</Pages>
  <Words>18848</Words>
  <Characters>103668</Characters>
  <Application>Microsoft Office Word</Application>
  <DocSecurity>0</DocSecurity>
  <Lines>863</Lines>
  <Paragraphs>244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251</cp:revision>
  <dcterms:created xsi:type="dcterms:W3CDTF">2026-03-23T21:09:00Z</dcterms:created>
  <dcterms:modified xsi:type="dcterms:W3CDTF">2026-08-31T19:48:00Z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