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7A15F" w14:textId="77777777" w:rsidR="0060099A" w:rsidRPr="00863A18" w:rsidRDefault="0060099A" w:rsidP="00ED2DC8">
      <w:pPr>
        <w:spacing w:after="0" w:line="240" w:lineRule="auto"/>
        <w:jc w:val="center"/>
        <w:rPr>
          <w:rFonts w:ascii="Arial" w:hAnsi="Arial" w:cs="Arial"/>
        </w:rPr>
      </w:pPr>
      <w:bookmarkStart w:id="0" w:name="_Hlk8641159"/>
    </w:p>
    <w:bookmarkEnd w:id="0"/>
    <w:p w14:paraId="55768ACF" w14:textId="77777777" w:rsidR="0060099A" w:rsidRPr="00863A18" w:rsidRDefault="0060099A" w:rsidP="00ED2DC8">
      <w:pPr>
        <w:spacing w:after="0" w:line="240" w:lineRule="auto"/>
        <w:jc w:val="center"/>
        <w:rPr>
          <w:rFonts w:ascii="Arial" w:hAnsi="Arial" w:cs="Arial"/>
        </w:rPr>
      </w:pPr>
    </w:p>
    <w:p w14:paraId="3FB8041C" w14:textId="77777777" w:rsidR="0060099A" w:rsidRPr="00863A18" w:rsidRDefault="0060099A" w:rsidP="00ED2DC8">
      <w:pPr>
        <w:spacing w:after="0" w:line="240" w:lineRule="auto"/>
        <w:jc w:val="center"/>
        <w:rPr>
          <w:rFonts w:ascii="Arial" w:hAnsi="Arial" w:cs="Arial"/>
        </w:rPr>
      </w:pPr>
    </w:p>
    <w:p w14:paraId="11828901" w14:textId="77777777" w:rsidR="0060099A" w:rsidRPr="00863A18" w:rsidRDefault="0060099A" w:rsidP="00ED2DC8">
      <w:pPr>
        <w:spacing w:after="0" w:line="240" w:lineRule="auto"/>
        <w:jc w:val="center"/>
        <w:rPr>
          <w:rFonts w:ascii="Arial" w:hAnsi="Arial" w:cs="Arial"/>
        </w:rPr>
      </w:pPr>
    </w:p>
    <w:p w14:paraId="57CEB53E" w14:textId="77777777" w:rsidR="0060099A" w:rsidRPr="00863A18" w:rsidRDefault="0060099A" w:rsidP="00ED2DC8">
      <w:pPr>
        <w:spacing w:after="0" w:line="240" w:lineRule="auto"/>
        <w:jc w:val="center"/>
        <w:rPr>
          <w:rFonts w:ascii="Arial" w:hAnsi="Arial" w:cs="Arial"/>
        </w:rPr>
      </w:pPr>
    </w:p>
    <w:p w14:paraId="300BE91C"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3AC8DC74" wp14:editId="46BE3372">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53FAABFD" w14:textId="77777777" w:rsidR="0060099A" w:rsidRPr="00863A18" w:rsidRDefault="0060099A" w:rsidP="00ED2DC8">
      <w:pPr>
        <w:spacing w:after="0" w:line="240" w:lineRule="auto"/>
        <w:jc w:val="center"/>
        <w:rPr>
          <w:rFonts w:ascii="Arial" w:hAnsi="Arial" w:cs="Arial"/>
          <w:b/>
          <w:bCs/>
        </w:rPr>
      </w:pPr>
    </w:p>
    <w:p w14:paraId="52A4FA6D" w14:textId="77777777" w:rsidR="0060099A" w:rsidRPr="00863A18" w:rsidRDefault="0060099A" w:rsidP="00ED2DC8">
      <w:pPr>
        <w:spacing w:after="0" w:line="240" w:lineRule="auto"/>
        <w:jc w:val="center"/>
        <w:rPr>
          <w:rFonts w:ascii="Arial" w:hAnsi="Arial" w:cs="Arial"/>
          <w:b/>
          <w:bCs/>
        </w:rPr>
      </w:pPr>
    </w:p>
    <w:p w14:paraId="1E28088F" w14:textId="77777777" w:rsidR="00521B40" w:rsidRPr="00863A18" w:rsidRDefault="00521B40" w:rsidP="00ED2DC8">
      <w:pPr>
        <w:spacing w:after="0" w:line="240" w:lineRule="auto"/>
        <w:jc w:val="right"/>
        <w:rPr>
          <w:rFonts w:ascii="Arial" w:hAnsi="Arial" w:cs="Arial"/>
          <w:b/>
          <w:bCs/>
          <w:sz w:val="56"/>
          <w:szCs w:val="56"/>
        </w:rPr>
      </w:pPr>
    </w:p>
    <w:p w14:paraId="00DD0B14" w14:textId="77777777" w:rsidR="00521B40" w:rsidRPr="00863A18" w:rsidRDefault="00521B40" w:rsidP="00ED2DC8">
      <w:pPr>
        <w:spacing w:after="0" w:line="240" w:lineRule="auto"/>
        <w:jc w:val="right"/>
        <w:rPr>
          <w:rFonts w:ascii="Arial" w:hAnsi="Arial" w:cs="Arial"/>
          <w:b/>
          <w:bCs/>
          <w:sz w:val="56"/>
          <w:szCs w:val="56"/>
        </w:rPr>
      </w:pPr>
    </w:p>
    <w:p w14:paraId="3AFEA96D" w14:textId="77777777" w:rsidR="00521B40" w:rsidRPr="00863A18" w:rsidRDefault="00521B40" w:rsidP="00ED2DC8">
      <w:pPr>
        <w:spacing w:after="0" w:line="240" w:lineRule="auto"/>
        <w:jc w:val="right"/>
        <w:rPr>
          <w:rFonts w:ascii="Arial" w:hAnsi="Arial" w:cs="Arial"/>
          <w:b/>
          <w:bCs/>
          <w:sz w:val="56"/>
          <w:szCs w:val="56"/>
        </w:rPr>
      </w:pPr>
    </w:p>
    <w:p w14:paraId="56B6860D"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334182A8" w14:textId="77777777" w:rsidR="0060099A" w:rsidRPr="00863A18" w:rsidRDefault="0060099A" w:rsidP="00ED2DC8">
      <w:pPr>
        <w:pStyle w:val="Versin"/>
        <w:jc w:val="right"/>
        <w:rPr>
          <w:rFonts w:ascii="Arial" w:hAnsi="Arial" w:cs="Arial"/>
        </w:rPr>
      </w:pPr>
      <w:r>
        <w:rPr>
          <w:rFonts w:ascii="Arial" w:hAnsi="Arial" w:cs="Arial"/>
        </w:rPr>
        <w:t>Versión 1.0</w:t>
      </w:r>
    </w:p>
    <w:p w14:paraId="733E2A04" w14:textId="77777777" w:rsidR="0060099A" w:rsidRPr="00863A18" w:rsidRDefault="0060099A" w:rsidP="00ED2DC8">
      <w:pPr>
        <w:spacing w:after="0" w:line="240" w:lineRule="auto"/>
        <w:jc w:val="right"/>
        <w:rPr>
          <w:rFonts w:ascii="Arial" w:eastAsiaTheme="minorHAnsi" w:hAnsi="Arial" w:cs="Arial"/>
          <w:b/>
          <w:sz w:val="56"/>
          <w:szCs w:val="56"/>
        </w:rPr>
      </w:pPr>
    </w:p>
    <w:p w14:paraId="32DEC421"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09C86612" wp14:editId="68008938">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1C3A1D1B"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7C7B5EFC"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09C86612"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" strokeweight="2.25pt">
                <v:shadow offset="6pt,6pt"/>
                <v:textbox>
                  <w:txbxContent>
                    <w:p w14:paraId="1C3A1D1B"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7C7B5EFC"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2716F663" w14:textId="77777777" w:rsidR="0060099A" w:rsidRPr="00863A18" w:rsidRDefault="0060099A" w:rsidP="00ED2DC8">
      <w:pPr>
        <w:spacing w:after="0" w:line="240" w:lineRule="auto"/>
        <w:jc w:val="center"/>
        <w:rPr>
          <w:rFonts w:ascii="Arial" w:eastAsia="Calibri" w:hAnsi="Arial" w:cs="Arial"/>
        </w:rPr>
      </w:pPr>
    </w:p>
    <w:p w14:paraId="36F709FC" w14:textId="77777777" w:rsidR="0060099A" w:rsidRPr="00863A18" w:rsidRDefault="0060099A" w:rsidP="00ED2DC8">
      <w:pPr>
        <w:spacing w:after="0" w:line="240" w:lineRule="auto"/>
        <w:jc w:val="center"/>
        <w:rPr>
          <w:rFonts w:ascii="Arial" w:eastAsia="Calibri" w:hAnsi="Arial" w:cs="Arial"/>
        </w:rPr>
      </w:pPr>
    </w:p>
    <w:p w14:paraId="3E46D01B" w14:textId="77777777" w:rsidR="0060099A" w:rsidRPr="00863A18" w:rsidRDefault="0060099A" w:rsidP="00ED2DC8">
      <w:pPr>
        <w:spacing w:after="0" w:line="240" w:lineRule="auto"/>
        <w:jc w:val="center"/>
        <w:rPr>
          <w:rFonts w:ascii="Arial" w:eastAsia="Calibri" w:hAnsi="Arial" w:cs="Arial"/>
        </w:rPr>
      </w:pPr>
    </w:p>
    <w:p w14:paraId="3DAA6131" w14:textId="77777777" w:rsidR="0060099A" w:rsidRPr="00863A18" w:rsidRDefault="0060099A" w:rsidP="00ED2DC8">
      <w:pPr>
        <w:spacing w:after="0" w:line="240" w:lineRule="auto"/>
        <w:jc w:val="center"/>
        <w:rPr>
          <w:rFonts w:ascii="Arial" w:eastAsia="Calibri" w:hAnsi="Arial" w:cs="Arial"/>
        </w:rPr>
      </w:pPr>
    </w:p>
    <w:p w14:paraId="4C5F7648" w14:textId="77777777" w:rsidR="00521B40" w:rsidRPr="00863A18" w:rsidRDefault="00521B40" w:rsidP="00ED2DC8">
      <w:pPr>
        <w:spacing w:after="0" w:line="240" w:lineRule="auto"/>
        <w:jc w:val="center"/>
        <w:rPr>
          <w:rFonts w:ascii="Arial" w:eastAsia="Calibri" w:hAnsi="Arial" w:cs="Arial"/>
        </w:rPr>
      </w:pPr>
    </w:p>
    <w:p w14:paraId="05498E10" w14:textId="77777777" w:rsidR="00521B40" w:rsidRPr="00863A18" w:rsidRDefault="00521B40" w:rsidP="00ED2DC8">
      <w:pPr>
        <w:spacing w:after="0" w:line="240" w:lineRule="auto"/>
        <w:jc w:val="center"/>
        <w:rPr>
          <w:rFonts w:ascii="Arial" w:eastAsia="Calibri" w:hAnsi="Arial" w:cs="Arial"/>
        </w:rPr>
      </w:pPr>
    </w:p>
    <w:p w14:paraId="71DBB07C" w14:textId="77777777" w:rsidR="004503ED" w:rsidRDefault="004503ED" w:rsidP="00ED2DC8">
      <w:pPr>
        <w:spacing w:after="0" w:line="240" w:lineRule="auto"/>
        <w:jc w:val="center"/>
        <w:rPr>
          <w:rFonts w:ascii="Arial" w:eastAsia="Calibri" w:hAnsi="Arial" w:cs="Arial"/>
        </w:rPr>
      </w:pPr>
    </w:p>
    <w:p w14:paraId="140E797D" w14:textId="77777777" w:rsidR="004503ED" w:rsidRPr="00863A18" w:rsidRDefault="004503ED" w:rsidP="00ED2DC8">
      <w:pPr>
        <w:spacing w:after="0" w:line="240" w:lineRule="auto"/>
        <w:jc w:val="center"/>
        <w:rPr>
          <w:rFonts w:ascii="Arial" w:eastAsia="Calibri" w:hAnsi="Arial" w:cs="Arial"/>
        </w:rPr>
      </w:pPr>
    </w:p>
    <w:p w14:paraId="0A576E61"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57323B08"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3D0F79CC" w14:textId="77777777" w:rsidR="0060099A" w:rsidRPr="00863A18" w:rsidRDefault="0060099A" w:rsidP="00ED2DC8">
      <w:pPr>
        <w:spacing w:after="0" w:line="240" w:lineRule="auto"/>
        <w:jc w:val="center"/>
        <w:rPr>
          <w:rFonts w:ascii="Arial" w:hAnsi="Arial" w:cs="Arial"/>
          <w:b/>
          <w:bCs/>
          <w:sz w:val="32"/>
          <w:szCs w:val="32"/>
        </w:rPr>
      </w:pPr>
    </w:p>
    <w:p w14:paraId="15C0636D"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10B2F7A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3CD4B90F"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7CC4F0A" w14:textId="77777777" w:rsidR="00833450" w:rsidRPr="00863A18" w:rsidRDefault="00833450" w:rsidP="00B23382">
      <w:pPr>
        <w:spacing w:after="0" w:line="240" w:lineRule="auto"/>
        <w:jc w:val="center"/>
        <w:rPr>
          <w:rFonts w:ascii="Arial" w:hAnsi="Arial" w:cs="Arial"/>
        </w:rPr>
      </w:pPr>
    </w:p>
    <w:p w14:paraId="0400FD44" w14:textId="32246A1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sidR="006248C0">
          <w:rPr>
            <w:webHidden/>
          </w:rPr>
          <w:t>5</w:t>
        </w:r>
        <w:r>
          <w:rPr>
            <w:webHidden/>
          </w:rPr>
          <w:fldChar w:fldCharType="end"/>
        </w:r>
      </w:hyperlink>
    </w:p>
    <w:p w14:paraId="3500C9E2" w14:textId="7B7A40C4"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sidR="006248C0">
          <w:rPr>
            <w:webHidden/>
          </w:rPr>
          <w:t>5</w:t>
        </w:r>
        <w:r>
          <w:rPr>
            <w:webHidden/>
          </w:rPr>
          <w:fldChar w:fldCharType="end"/>
        </w:r>
      </w:hyperlink>
    </w:p>
    <w:p w14:paraId="7A4DB512" w14:textId="45B03804"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sidR="006248C0">
          <w:rPr>
            <w:webHidden/>
          </w:rPr>
          <w:t>5</w:t>
        </w:r>
        <w:r>
          <w:rPr>
            <w:webHidden/>
          </w:rPr>
          <w:fldChar w:fldCharType="end"/>
        </w:r>
      </w:hyperlink>
    </w:p>
    <w:p w14:paraId="122868CE" w14:textId="249C0325"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sidR="006248C0">
          <w:rPr>
            <w:webHidden/>
          </w:rPr>
          <w:t>8</w:t>
        </w:r>
        <w:r>
          <w:rPr>
            <w:webHidden/>
          </w:rPr>
          <w:fldChar w:fldCharType="end"/>
        </w:r>
      </w:hyperlink>
    </w:p>
    <w:p w14:paraId="334964A7" w14:textId="758046F0"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sidR="006248C0">
          <w:rPr>
            <w:webHidden/>
          </w:rPr>
          <w:t>10</w:t>
        </w:r>
        <w:r>
          <w:rPr>
            <w:webHidden/>
          </w:rPr>
          <w:fldChar w:fldCharType="end"/>
        </w:r>
      </w:hyperlink>
    </w:p>
    <w:p w14:paraId="21A72EE4" w14:textId="4B568645"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sidR="006248C0">
          <w:rPr>
            <w:webHidden/>
          </w:rPr>
          <w:t>20</w:t>
        </w:r>
        <w:r>
          <w:rPr>
            <w:webHidden/>
          </w:rPr>
          <w:fldChar w:fldCharType="end"/>
        </w:r>
      </w:hyperlink>
    </w:p>
    <w:p w14:paraId="25BE9A9A" w14:textId="1C15B35A"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sidR="006248C0">
          <w:rPr>
            <w:webHidden/>
          </w:rPr>
          <w:t>46</w:t>
        </w:r>
        <w:r>
          <w:rPr>
            <w:webHidden/>
          </w:rPr>
          <w:fldChar w:fldCharType="end"/>
        </w:r>
      </w:hyperlink>
    </w:p>
    <w:p w14:paraId="1C3DBB26" w14:textId="3210B04A"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sidR="006248C0">
          <w:rPr>
            <w:webHidden/>
          </w:rPr>
          <w:t>48</w:t>
        </w:r>
        <w:r>
          <w:rPr>
            <w:webHidden/>
          </w:rPr>
          <w:fldChar w:fldCharType="end"/>
        </w:r>
      </w:hyperlink>
    </w:p>
    <w:p w14:paraId="074152EF"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70176227"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C1D6F5F"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20467D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4B46D0B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76C1913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CNSD: Centro Nacional de Seguridad Digital</w:t>
      </w:r>
    </w:p>
    <w:p w14:paraId="7AED90B2" w14:textId="77777777" w:rsidR="00577C4C" w:rsidRDefault="00577C4C">
      <w:pPr>
        <w:pStyle w:val="Prrafodelista"/>
        <w:numPr>
          <w:ilvl w:val="0"/>
          <w:numId w:val="18"/>
        </w:numPr>
        <w:spacing w:line="276" w:lineRule="auto"/>
        <w:rPr>
          <w:b w:val="0"/>
          <w:bCs w:val="0"/>
          <w:color w:val="000000"/>
        </w:rPr>
      </w:pPr>
      <w:r>
        <w:rPr>
          <w:b w:val="0"/>
          <w:bCs w:val="0"/>
          <w:color w:val="000000"/>
        </w:rPr>
        <w:t>EETT: Especificaciones Técnicas</w:t>
      </w:r>
    </w:p>
    <w:p w14:paraId="06D4FE1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3423A05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55CA7B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53E9091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ETDIA: Equipo Técnico de Datos e Inteligencia Artificial</w:t>
      </w:r>
    </w:p>
    <w:p w14:paraId="2E0DD80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64261C66" w14:textId="77777777" w:rsidR="00577C4C" w:rsidRDefault="00577C4C">
      <w:pPr>
        <w:pStyle w:val="Prrafodelista"/>
        <w:numPr>
          <w:ilvl w:val="0"/>
          <w:numId w:val="18"/>
        </w:numPr>
        <w:spacing w:line="276" w:lineRule="auto"/>
        <w:rPr>
          <w:b w:val="0"/>
          <w:bCs w:val="0"/>
          <w:color w:val="000000"/>
        </w:rPr>
      </w:pPr>
      <w:r>
        <w:rPr>
          <w:b w:val="0"/>
          <w:bCs w:val="0"/>
          <w:color w:val="000000"/>
        </w:rPr>
        <w:t>GDS: Gerencia de Desarrollo de Sistemas</w:t>
      </w:r>
    </w:p>
    <w:p w14:paraId="251C5F4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IA: Inteligencia Artificial</w:t>
      </w:r>
    </w:p>
    <w:p w14:paraId="4C80FC8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0B6525BC" w14:textId="77777777" w:rsidR="00B10861" w:rsidRDefault="00000000">
      <w:pPr>
        <w:pStyle w:val="Prrafodelista"/>
        <w:numPr>
          <w:ilvl w:val="0"/>
          <w:numId w:val="18"/>
        </w:numPr>
        <w:spacing w:line="276" w:lineRule="auto"/>
        <w:rPr>
          <w:b w:val="0"/>
          <w:bCs w:val="0"/>
          <w:color w:val="000000"/>
        </w:rPr>
      </w:pPr>
      <w:r>
        <w:rPr>
          <w:b w:val="0"/>
          <w:bCs w:val="0"/>
          <w:color w:val="000000"/>
        </w:rPr>
        <w:t>INJA: Intendencia Nacional Jurídico Aduanera</w:t>
      </w:r>
    </w:p>
    <w:p w14:paraId="42654A7B" w14:textId="77777777" w:rsidR="00B10861" w:rsidRDefault="00000000">
      <w:pPr>
        <w:pStyle w:val="Prrafodelista"/>
        <w:numPr>
          <w:ilvl w:val="0"/>
          <w:numId w:val="18"/>
        </w:numPr>
        <w:spacing w:line="276" w:lineRule="auto"/>
        <w:rPr>
          <w:b w:val="0"/>
          <w:bCs w:val="0"/>
          <w:color w:val="000000"/>
        </w:rPr>
      </w:pPr>
      <w:r>
        <w:rPr>
          <w:b w:val="0"/>
          <w:bCs w:val="0"/>
          <w:color w:val="000000"/>
        </w:rPr>
        <w:t>INJT: Intendencia Nacional Jurídico Tributaria</w:t>
      </w:r>
    </w:p>
    <w:p w14:paraId="42E7187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36A2678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0F6A2E70"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77843F59"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277F302C" w14:textId="77777777" w:rsidR="00BA798A" w:rsidRDefault="00BA798A">
      <w:pPr>
        <w:pStyle w:val="Prrafodelista"/>
        <w:numPr>
          <w:ilvl w:val="0"/>
          <w:numId w:val="18"/>
        </w:numPr>
        <w:spacing w:line="276" w:lineRule="auto"/>
        <w:rPr>
          <w:b w:val="0"/>
          <w:bCs w:val="0"/>
          <w:color w:val="000000"/>
        </w:rPr>
      </w:pPr>
      <w:r>
        <w:rPr>
          <w:b w:val="0"/>
          <w:bCs w:val="0"/>
          <w:color w:val="000000"/>
          <w:highlight w:val="lightGray"/>
        </w:rPr>
        <w:t>METGEP: Metodología para la Gestión por Procesos</w:t>
      </w:r>
    </w:p>
    <w:p w14:paraId="5567BEC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 Aprendizaje automático (Machine Learning)</w:t>
      </w:r>
    </w:p>
    <w:p w14:paraId="080DE9DA"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MGPP: Modelo de Gobernabilidad de Programas y Proyectos</w:t>
      </w:r>
    </w:p>
    <w:p w14:paraId="18D10DB7" w14:textId="77777777" w:rsid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2707DDD4" w14:textId="77777777" w:rsidR="00A402D8" w:rsidRPr="00A402D8" w:rsidRDefault="00A402D8">
      <w:pPr>
        <w:pStyle w:val="Prrafodelista"/>
        <w:numPr>
          <w:ilvl w:val="0"/>
          <w:numId w:val="18"/>
        </w:numPr>
        <w:spacing w:line="276" w:lineRule="auto"/>
        <w:rPr>
          <w:b w:val="0"/>
          <w:bCs w:val="0"/>
          <w:color w:val="000000"/>
          <w:highlight w:val="green"/>
        </w:rPr>
      </w:pPr>
      <w:r>
        <w:rPr>
          <w:b w:val="0"/>
          <w:bCs w:val="0"/>
          <w:color w:val="000000"/>
          <w:highlight w:val="green"/>
        </w:rPr>
        <w:t>OCDE: Organización para la Cooperación y el Desarrollo Económico</w:t>
      </w:r>
    </w:p>
    <w:p w14:paraId="73D5D84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6DD6A92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5F233DB7"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6603708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2D006C65"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44B1C83" w14:textId="77777777" w:rsidR="00577C4C" w:rsidRDefault="00577C4C">
      <w:pPr>
        <w:pStyle w:val="Prrafodelista"/>
        <w:numPr>
          <w:ilvl w:val="0"/>
          <w:numId w:val="18"/>
        </w:numPr>
        <w:spacing w:line="276" w:lineRule="auto"/>
        <w:rPr>
          <w:b w:val="0"/>
          <w:bCs w:val="0"/>
          <w:color w:val="000000"/>
        </w:rPr>
      </w:pPr>
      <w:r>
        <w:rPr>
          <w:b w:val="0"/>
          <w:bCs w:val="0"/>
          <w:color w:val="000000"/>
        </w:rPr>
        <w:t>OSI: Oficina de Seguridad Informática</w:t>
      </w:r>
    </w:p>
    <w:p w14:paraId="50917B72"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7839A48B"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566A6A6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4B8189E0"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PCM: Presidencia del Consejo de Ministros</w:t>
      </w:r>
    </w:p>
    <w:p w14:paraId="43932BA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7FFE278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543FC7B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2DDE084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9F17B18"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000C0AA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RS: Resolución de Superintendencia</w:t>
      </w:r>
    </w:p>
    <w:p w14:paraId="6900A43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8A7E69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C46CAFC" w14:textId="77777777" w:rsidR="00C733EA" w:rsidRDefault="00C733EA">
      <w:pPr>
        <w:pStyle w:val="Prrafodelista"/>
        <w:numPr>
          <w:ilvl w:val="0"/>
          <w:numId w:val="18"/>
        </w:numPr>
        <w:spacing w:line="276" w:lineRule="auto"/>
        <w:rPr>
          <w:b w:val="0"/>
          <w:bCs w:val="0"/>
          <w:color w:val="000000"/>
        </w:rPr>
      </w:pPr>
      <w:r>
        <w:rPr>
          <w:b w:val="0"/>
          <w:bCs w:val="0"/>
          <w:color w:val="000000"/>
        </w:rPr>
        <w:lastRenderedPageBreak/>
        <w:t>SGIA: Sistema de Gestión de Inteligencia Artificial</w:t>
      </w:r>
    </w:p>
    <w:p w14:paraId="02E5F6FF"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4B41591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2504D4DB" w14:textId="77777777" w:rsid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456690D4"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TDR: Términos de Referencia</w:t>
      </w:r>
    </w:p>
    <w:p w14:paraId="0ACEE27F"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TI: Tecnologías de la Información</w:t>
      </w:r>
    </w:p>
    <w:p w14:paraId="3DD3CE92"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TUO: Texto Único Ordenado</w:t>
      </w:r>
    </w:p>
    <w:p w14:paraId="01A885DE"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39244C6C"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949C9C" w14:textId="77777777"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precisando los compromisos establecidos en la Política de IA y observando la NTP-ISO/IEC 42001:2025 de uso obligatorio conforme al numeral 28.2 del artículo 28 del RLIA, para garantizar su alineamiento con la estrategia institucional, el cumplimiento del marco normativo vigente, la protección de los derechos de los administrados, la reserva tributaria y la seguridad de la información.</w:t>
      </w:r>
    </w:p>
    <w:p w14:paraId="2048D5A7" w14:textId="77777777" w:rsidR="00D443F8" w:rsidRDefault="00226840" w:rsidP="00226840">
      <w:pPr>
        <w:spacing w:after="60" w:line="276" w:lineRule="auto"/>
        <w:jc w:val="both"/>
        <w:rPr>
          <w:rFonts w:ascii="Arial" w:hAnsi="Arial" w:cs="Arial"/>
        </w:rPr>
      </w:pPr>
      <w:r>
        <w:rPr>
          <w:rFonts w:ascii="Arial" w:hAnsi="Arial" w:cs="Arial"/>
          <w:highlight w:val="green"/>
        </w:rPr>
        <w:t>La presente directiva regula la gestión de los SBIA solo en lo específico de la inteligencia artificial. No sustituye a los documentos normativos institucionales que regulan la gestión de proyectos, el desarrollo de sistemas, la gobernanza de datos, la seguridad de la información, las contrataciones y la gestión de las personas:</w:t>
      </w:r>
      <w:r>
        <w:rPr>
          <w:highlight w:val="green"/>
        </w:rPr>
        <w:t xml:space="preserve"> </w:t>
      </w:r>
      <w:r>
        <w:rPr>
          <w:rFonts w:ascii="Arial" w:hAnsi="Arial" w:cs="Arial"/>
          <w:highlight w:val="green"/>
        </w:rPr>
        <w:t>sobre ellos identifica lo que corresponde verificar respecto del componente de IA.</w:t>
      </w:r>
    </w:p>
    <w:p w14:paraId="25393E5D" w14:textId="77777777"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201A2F55" w14:textId="77777777"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Pr>
          <w:rFonts w:ascii="Arial" w:hAnsi="Arial" w:cs="Arial"/>
          <w:color w:val="000000"/>
          <w:highlight w:val="lightGray"/>
        </w:rPr>
        <w:t>Se exceptúa de su alcance al Órgano de Control Institucional, que se rige por las disposiciones del Sistema Nacional de Control.</w:t>
      </w:r>
    </w:p>
    <w:p w14:paraId="2796968A"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719EA9F"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184AC256"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070E184A"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42C68774"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55474C4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2B46F3A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5BFEF52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(01/05/2026), que aprueba la Estrategia Nacional de Inteligencia Artificial (ENIA) 2026-2030.</w:t>
      </w:r>
    </w:p>
    <w:p w14:paraId="5F10F4E6"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288FF9D1" w14:textId="77777777" w:rsidR="00EA5536" w:rsidRPr="00A402D8" w:rsidRDefault="00EA5536" w:rsidP="00EA5536">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Ministerial N.° 119-2018-PCM (10/05/2018), que dispone la creación de un Comité de Gobierno Digital en cada entidad de la Administración Pública y establece sus funciones, modificada por la Resolución Ministerial N.° 087-2019-PCM (22/03/2019).</w:t>
      </w:r>
    </w:p>
    <w:p w14:paraId="366F8DB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Legislativo N.° 1412 (13/09/2018), que aprueba la Ley de Gobierno Digital, y sus modificatorias.</w:t>
      </w:r>
    </w:p>
    <w:p w14:paraId="709D31B9"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59896A89" w14:textId="77777777" w:rsidR="00A402D8" w:rsidRPr="00A402D8" w:rsidRDefault="00A402D8">
      <w:pPr>
        <w:pStyle w:val="Prrafodelista"/>
        <w:numPr>
          <w:ilvl w:val="1"/>
          <w:numId w:val="20"/>
        </w:numPr>
        <w:spacing w:line="276" w:lineRule="auto"/>
        <w:ind w:left="709" w:hanging="567"/>
        <w:rPr>
          <w:b w:val="0"/>
          <w:bCs w:val="0"/>
          <w:color w:val="000000"/>
          <w:highlight w:val="green"/>
        </w:rPr>
      </w:pPr>
      <w:r>
        <w:rPr>
          <w:b w:val="0"/>
          <w:bCs w:val="0"/>
          <w:color w:val="000000"/>
          <w:highlight w:val="green"/>
        </w:rPr>
        <w:t>Decreto Supremo N.° 157-2021-PCM (25/09/2021), que aprueba el Reglamento del Decreto de Urgencia N.° 006-2020; en particular su cuarta disposición complementaria final, conforme a la cual toda mención al Comité de Gobierno Digital se entiende referida al Comité de Gobierno y Transformación Digital.</w:t>
      </w:r>
    </w:p>
    <w:p w14:paraId="07C8EC0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029-2021-PCM (18/02/2021), que aprueba el Reglamento del Decreto Legislativo N.° 1412, y sus modificatorias aprobadas por Decreto Supremo N.° 075-2023-PCM y Decreto Supremo N.° 098-2025-PCM (31/07/2025).</w:t>
      </w:r>
    </w:p>
    <w:p w14:paraId="42129AD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ECBC21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49E2A45B"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016-2024-JUS (30/11/2024).</w:t>
      </w:r>
    </w:p>
    <w:p w14:paraId="16C81E63"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164281F3"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108013C8"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C83A498" w14:textId="77777777" w:rsidR="00F50B2B" w:rsidRPr="00F50B2B" w:rsidRDefault="00F50B2B" w:rsidP="00A154AA">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Superintendencia N.° 000159-2024/SUNAT (02/08/2024), que aprueba el Texto Integrado del Reglamento de Organización y Funciones de la Superintendencia Nacional de Aduanas y de Administración Tributaria - SUNAT (ROF).</w:t>
      </w:r>
    </w:p>
    <w:p w14:paraId="014E12E5"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2B378D18" w14:textId="77777777" w:rsidR="00524301" w:rsidRDefault="00524301"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000144-2026/SUNAT (30/07/2026), que aprueba la Política de uso seguro, responsable y ético de los sistemas basados en inteligencia artificial en la Superintendencia Nacional de Aduanas y de Administración Tributaria</w:t>
      </w:r>
      <w:r>
        <w:rPr>
          <w:rFonts w:asciiTheme="minorHAnsi" w:eastAsiaTheme="minorEastAsia" w:hAnsiTheme="minorHAnsi" w:cstheme="minorBidi"/>
          <w:b w:val="0"/>
          <w:bCs w:val="0"/>
        </w:rPr>
        <w:t xml:space="preserve">, </w:t>
      </w:r>
      <w:r>
        <w:rPr>
          <w:b w:val="0"/>
          <w:bCs w:val="0"/>
          <w:color w:val="000000"/>
          <w:highlight w:val="green"/>
        </w:rPr>
        <w:t>en adelante, la Política de IA.</w:t>
      </w:r>
    </w:p>
    <w:p w14:paraId="0D2CAA83" w14:textId="77777777" w:rsidR="00361346"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173-2018/SUNAT (13/07/2018), que aprueba los documentos de Política, Objetivos y Alcance del Sistema de Gestión de Seguridad de la Información de la SUNAT, entre ellos la Política de Seguridad de la Información (SGSI-PO-01).</w:t>
      </w:r>
    </w:p>
    <w:p w14:paraId="05962BF0" w14:textId="77777777" w:rsidR="00361346" w:rsidRPr="00641EAF"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050-2019/SUNAT (06/03/2019), que aprueba los documentos del Sistema de Gestión de Seguridad de la Información de la SUNAT, entre ellos el Manual de Políticas del Sistema de Gestión de Seguridad de la Información (SGSI-MA-03).</w:t>
      </w:r>
    </w:p>
    <w:p w14:paraId="6D2044D4" w14:textId="77777777" w:rsidR="0080359D" w:rsidRPr="00524301" w:rsidRDefault="0080359D" w:rsidP="00524301">
      <w:pPr>
        <w:pStyle w:val="Prrafodelista"/>
        <w:numPr>
          <w:ilvl w:val="1"/>
          <w:numId w:val="20"/>
        </w:numPr>
        <w:spacing w:line="276" w:lineRule="auto"/>
        <w:ind w:left="709" w:hanging="567"/>
        <w:rPr>
          <w:b w:val="0"/>
          <w:bCs w:val="0"/>
          <w:color w:val="000000"/>
          <w:highlight w:val="yellow"/>
        </w:rPr>
      </w:pPr>
      <w:r>
        <w:rPr>
          <w:b w:val="0"/>
          <w:bCs w:val="0"/>
          <w:color w:val="000000"/>
          <w:highlight w:val="yellow"/>
        </w:rPr>
        <w:t>Resolución de Oficina N.° 001-2024-SUNAT/1V0000 (16/12/2024), que aprueba la Metodología para la formulación, aprobación y control de los Documentos Normativos Institucionales (METDONI) Versión 1.4.</w:t>
      </w:r>
    </w:p>
    <w:p w14:paraId="09FD68C6" w14:textId="77777777" w:rsidR="00BA798A" w:rsidRDefault="00BA798A">
      <w:pPr>
        <w:pStyle w:val="Prrafodelista"/>
        <w:numPr>
          <w:ilvl w:val="1"/>
          <w:numId w:val="20"/>
        </w:numPr>
        <w:spacing w:line="276" w:lineRule="auto"/>
        <w:ind w:left="709" w:hanging="567"/>
        <w:rPr>
          <w:b w:val="0"/>
          <w:bCs w:val="0"/>
          <w:color w:val="000000"/>
          <w:highlight w:val="lightGray"/>
        </w:rPr>
      </w:pPr>
      <w:r>
        <w:rPr>
          <w:b w:val="0"/>
          <w:bCs w:val="0"/>
          <w:color w:val="000000"/>
          <w:highlight w:val="lightGray"/>
        </w:rPr>
        <w:lastRenderedPageBreak/>
        <w:t>Resolución de Oficina N.° 000002-2023-SUNAT/1V0000 (22/12/2023), que aprueba la Metodología para la Gestión por Procesos (METGEP) Versión 5.0.</w:t>
      </w:r>
    </w:p>
    <w:p w14:paraId="59A93770" w14:textId="77777777"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004-2019/SUNAT/1U0000 (02/09/2019), que aprueba los Principios de Arquitectura de TI.</w:t>
      </w:r>
    </w:p>
    <w:p w14:paraId="4BC0B6C7" w14:textId="77777777"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011-2019/SUNAT/1U0000 (21/10/2019), que aprueba los Lineamientos de Arquitectura de TI.</w:t>
      </w:r>
    </w:p>
    <w:p w14:paraId="3B30CA22" w14:textId="77777777" w:rsidR="00863A18" w:rsidRPr="00923C59" w:rsidRDefault="0033689D" w:rsidP="00B23382">
      <w:pPr>
        <w:spacing w:line="276" w:lineRule="auto"/>
        <w:rPr>
          <w:rFonts w:ascii="Arial" w:hAnsi="Arial" w:cs="Arial"/>
        </w:rPr>
      </w:pPr>
      <w:r>
        <w:rPr>
          <w:rFonts w:ascii="Arial" w:hAnsi="Arial" w:cs="Arial"/>
        </w:rPr>
        <w:br w:type="page"/>
      </w:r>
    </w:p>
    <w:p w14:paraId="59C74C06"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4DBC5B92"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E11BE43" w14:textId="77777777" w:rsidR="0033689D" w:rsidRPr="00923C59" w:rsidRDefault="0033689D">
      <w:pPr>
        <w:pStyle w:val="Prrafodelista"/>
        <w:numPr>
          <w:ilvl w:val="0"/>
          <w:numId w:val="8"/>
        </w:numPr>
        <w:spacing w:line="276" w:lineRule="auto"/>
        <w:rPr>
          <w:b w:val="0"/>
          <w:bCs w:val="0"/>
          <w:vanish/>
          <w:color w:val="000000"/>
        </w:rPr>
      </w:pPr>
    </w:p>
    <w:p w14:paraId="19BD0275"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03140E7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Sus etapas son las previstas en el numeral 6.1.1 de la presente directiva. [ISO/IEC 22989:2022, sección 3.2.1; NTP-ISO/IEC 42001:2025, Anexo A, A.6]</w:t>
      </w:r>
    </w:p>
    <w:p w14:paraId="337C6591" w14:textId="77777777" w:rsidR="0033689D"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de apoyo al CGTD encargado de preparar las evaluaciones, informes y propuestas en materia de gobierno de IA. Ejerce además las funciones de administración, supervisión y aprobación que la presente directiva le asigna. Cuenta con un Coordinador designado por el CGTD.</w:t>
      </w:r>
    </w:p>
    <w:p w14:paraId="46514032" w14:textId="77777777" w:rsidR="00AA0B3B" w:rsidRPr="00AA0B3B" w:rsidRDefault="00AA0B3B">
      <w:pPr>
        <w:pStyle w:val="Prrafodelista"/>
        <w:numPr>
          <w:ilvl w:val="1"/>
          <w:numId w:val="8"/>
        </w:numPr>
        <w:spacing w:after="0" w:line="276" w:lineRule="auto"/>
        <w:ind w:left="709" w:hanging="709"/>
        <w:rPr>
          <w:b w:val="0"/>
          <w:bCs w:val="0"/>
          <w:color w:val="000000"/>
          <w:highlight w:val="green"/>
        </w:rPr>
      </w:pPr>
      <w:r>
        <w:rPr>
          <w:color w:val="000000"/>
          <w:highlight w:val="green"/>
        </w:rPr>
        <w:t>Componente generativo:</w:t>
      </w:r>
      <w:r>
        <w:rPr>
          <w:b w:val="0"/>
          <w:bCs w:val="0"/>
          <w:color w:val="000000"/>
          <w:highlight w:val="green"/>
        </w:rPr>
        <w:t xml:space="preserve"> Parte de un SBIA que produce contenido nuevo —texto, código, imagen, audio o datos sintéticos— a partir de una instrucción o de un contexto, en lugar de clasificar, predecir o puntuar sobre datos ya existentes.</w:t>
      </w:r>
    </w:p>
    <w:p w14:paraId="3618AAD0" w14:textId="77777777" w:rsidR="0033689D"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Controles de contención (Guardrails):</w:t>
      </w:r>
      <w:r>
        <w:rPr>
          <w:b w:val="0"/>
          <w:bCs w:val="0"/>
          <w:color w:val="000000"/>
          <w:highlight w:val="green"/>
        </w:rPr>
        <w:t xml:space="preserve"> Conjunto de controles, reglas y mecanismos 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[NIST AI 600-1 (2024), sección 2.6; OWASP (2025), Top 10 for LLM Applications]</w:t>
      </w:r>
    </w:p>
    <w:p w14:paraId="6B5DAF92" w14:textId="77777777" w:rsidR="0045319E" w:rsidRPr="00171767" w:rsidRDefault="0045319E">
      <w:pPr>
        <w:pStyle w:val="Prrafodelista"/>
        <w:numPr>
          <w:ilvl w:val="1"/>
          <w:numId w:val="8"/>
        </w:numPr>
        <w:spacing w:after="0" w:line="276" w:lineRule="auto"/>
        <w:ind w:left="709" w:hanging="709"/>
        <w:rPr>
          <w:b w:val="0"/>
          <w:bCs w:val="0"/>
          <w:color w:val="000000"/>
          <w:highlight w:val="green"/>
        </w:rPr>
      </w:pPr>
      <w:r>
        <w:rPr>
          <w:color w:val="000000"/>
          <w:highlight w:val="green"/>
        </w:rPr>
        <w:t>Custodio técnico:</w:t>
      </w:r>
      <w:r>
        <w:rPr>
          <w:b w:val="0"/>
          <w:bCs w:val="0"/>
          <w:color w:val="000000"/>
          <w:highlight w:val="green"/>
        </w:rPr>
        <w:t xml:space="preserve"> Unidad de organización de la INSI responsable del diseño técnico, la construcción o adquisición, el despliegue y la operación de un SBIA, así como de la implementación de los controles que se derivan de su clasificación de riesgo y de la generación de la documentación técnica exigida por la presente directiva. Se distingue del propietario del caso de uso, que asume la responsabilidad funcional. Se identifica en la Ficha de Registro de SBIA (Anexo N.° 1). [NTP-ISO/IEC 42001:2025, cláusula 5.3]</w:t>
      </w:r>
    </w:p>
    <w:p w14:paraId="0425753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C0E9E84"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Equipo Técnico de Datos e Inteligencia Artificial (ETDIA): </w:t>
      </w:r>
      <w:r>
        <w:rPr>
          <w:b w:val="0"/>
          <w:bCs w:val="0"/>
          <w:color w:val="000000"/>
        </w:rPr>
        <w:t>Equipo que la entidad pública constituye al aprobar su Plan de Acción de Inteligencia Artificial, cuya conformación aprueba el CGTD. Se distingue de la Comisión de Gobierno de IA y del equipo técnico multidisciplinario del numeral 6.1.6. [Resolución Ministerial N.° 152-2026-PCM, artículo 7]</w:t>
      </w:r>
    </w:p>
    <w:p w14:paraId="47E3F82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0FB30373" w14:textId="77777777" w:rsidR="00E67A73" w:rsidRPr="00AA0B3B" w:rsidRDefault="00000000">
      <w:pPr>
        <w:pStyle w:val="Prrafodelista"/>
        <w:numPr>
          <w:ilvl w:val="1"/>
          <w:numId w:val="8"/>
        </w:numPr>
        <w:spacing w:after="0" w:line="276" w:lineRule="auto"/>
        <w:ind w:left="709" w:hanging="709"/>
        <w:rPr>
          <w:b w:val="0"/>
          <w:bCs w:val="0"/>
          <w:color w:val="000000"/>
          <w:lang w:val="en-US"/>
        </w:rPr>
      </w:pPr>
      <w:r>
        <w:rPr>
          <w:color w:val="000000"/>
          <w:highlight w:val="yellow"/>
        </w:rPr>
        <w:t xml:space="preserve">Evaluación de Impacto Algorítmico (EIA): </w:t>
      </w:r>
      <w:r>
        <w:rPr>
          <w:b w:val="0"/>
          <w:bCs w:val="0"/>
          <w:color w:val="000000"/>
          <w:highlight w:val="yellow"/>
        </w:rPr>
        <w:t xml:space="preserve">Proceso sistemático y documentado para identificar, analizar y evaluar los riesgos y efectos potenciales que un SBIA </w:t>
      </w:r>
      <w:r>
        <w:rPr>
          <w:b w:val="0"/>
          <w:bCs w:val="0"/>
          <w:color w:val="000000"/>
          <w:highlight w:val="yellow"/>
        </w:rPr>
        <w:lastRenderedPageBreak/>
        <w:t xml:space="preserve">genera sobre los derechos de los administrados, previo a su desarrollo, adquisición o implementación. </w:t>
      </w:r>
      <w:r>
        <w:rPr>
          <w:b w:val="0"/>
          <w:bCs w:val="0"/>
          <w:color w:val="000000"/>
          <w:highlight w:val="yellow"/>
          <w:lang w:val="en-US"/>
        </w:rPr>
        <w:t>[D.S. N.° 115-2025-PCM, Art. 30; NTP-ISO/IEC 42001:2025, Anexo A, A.5.2]</w:t>
      </w:r>
    </w:p>
    <w:p w14:paraId="6198171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22BB803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Herramienta de IA: </w:t>
      </w:r>
      <w:r>
        <w:rPr>
          <w:b w:val="0"/>
          <w:bCs w:val="0"/>
          <w:color w:val="000000"/>
        </w:rPr>
        <w:t>Aplicación o servicio de propósito general que incorpora inteligencia artificial y que la SUNAT pone a disposición de sus colaboradores para apoyar su trabajo. No constituye un SBIA desarrollado o adquirido para un caso de uso institucional determinado. Se registra en el catálogo institucional previsto en el numeral 6.11.2.</w:t>
      </w:r>
    </w:p>
    <w:p w14:paraId="0E31845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1CADA07F"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Human-in-the-loop:</w:t>
      </w:r>
      <w:r>
        <w:rPr>
          <w:b w:val="0"/>
          <w:bCs w:val="0"/>
          <w:color w:val="000000"/>
        </w:rPr>
        <w:t xml:space="preserve"> Modelo de supervisión donde un ser humano interviene activamente en cada decisión del SBIA antes de su ejecución. </w:t>
      </w:r>
      <w:r>
        <w:rPr>
          <w:b w:val="0"/>
          <w:bCs w:val="0"/>
          <w:color w:val="000000"/>
          <w:lang w:val="en-US"/>
        </w:rPr>
        <w:t>[D.S. N.° 115-2025-PCM, Art. 7 lit. h); ISO/IEC 22989:2022, sección 3.4.3]</w:t>
      </w:r>
    </w:p>
    <w:p w14:paraId="4BF2DACA"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Human-on-the-loop:</w:t>
      </w:r>
      <w:r>
        <w:rPr>
          <w:b w:val="0"/>
          <w:bCs w:val="0"/>
          <w:color w:val="000000"/>
        </w:rPr>
        <w:t xml:space="preserve"> Modelo de supervisión donde un ser humano monitorea las operaciones del SBIA y puede intervenir ante anomalías. </w:t>
      </w:r>
      <w:r>
        <w:rPr>
          <w:b w:val="0"/>
          <w:bCs w:val="0"/>
          <w:color w:val="000000"/>
          <w:lang w:val="en-US"/>
        </w:rPr>
        <w:t>[D.S. N.° 115-2025-PCM, Art. 7 lit. h); ISO/IEC 22989:2022, sección 3.4.4]</w:t>
      </w:r>
    </w:p>
    <w:p w14:paraId="3EC04921"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operativos y desactivarlo. [D.S. N.° 115-2025-PCM, Art. 7 lit. h); Comisión Europea (2019), ALTAI]</w:t>
      </w:r>
    </w:p>
    <w:p w14:paraId="71C25758"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479DBB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092C83E5" w14:textId="77777777" w:rsidR="00594919" w:rsidRPr="00A15156" w:rsidRDefault="00000000">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Niveles de riesgo de un SBIA: </w:t>
      </w:r>
      <w:r>
        <w:rPr>
          <w:b w:val="0"/>
          <w:bCs w:val="0"/>
          <w:color w:val="000000"/>
          <w:highlight w:val="green"/>
        </w:rPr>
        <w:t>Categorías en que se clasifica un SBIA según el riesgo que genera su uso, conforme al RLIA: uso indebido (prohibido, artículo 23), riesgo alto (admisible únicamente bajo el cumplimiento de determinadas condiciones y controles, conforme al literal b) del numeral 22.1 del artículo 22, y tipificado en el artículo 24) y riesgo aceptable (artículo 22.2), que comprende por excepción todo SBIA que no califique en los dos anteriores. [D.S. N.° 115-2025-PCM, artículos 22 a 24]</w:t>
      </w:r>
    </w:p>
    <w:p w14:paraId="0BCC9141" w14:textId="77777777"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Propietario del caso de uso: </w:t>
      </w:r>
      <w:r>
        <w:rPr>
          <w:b w:val="0"/>
          <w:bCs w:val="0"/>
          <w:color w:val="000000"/>
          <w:highlight w:val="green"/>
        </w:rPr>
        <w:t>Unidad de organización que, de acuerdo con sus competencias y funciones en el ROF, es el dueño del proceso en el que se identifica la necesidad a atender mediante un SBIA y que asume la responsabilidad funcional sobre sus resultados y sobre los riesgos derivados de su utilización durante todo su ciclo de vida. Se distingue del custodio técnico, definido en el presente glosario. [METGEP, numeral 4.9; METDONI, numeral 4.6; NTP-ISO/IEC 42001:2025, cláusula 5.3]</w:t>
      </w:r>
    </w:p>
    <w:p w14:paraId="41ED32C5" w14:textId="77777777"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lastRenderedPageBreak/>
        <w:t>Red Teaming:</w:t>
      </w:r>
      <w:r>
        <w:rPr>
          <w:b w:val="0"/>
          <w:bCs w:val="0"/>
          <w:color w:val="000000"/>
          <w:highlight w:val="green"/>
        </w:rPr>
        <w:t xml:space="preserve"> Práctica de seguridad ofensiva que simula ataques adversarios contra un SBIA para identificar vulnerabilidades y comportamientos no deseados, con anterioridad a su despliegue y durante su operación. [NIST AI 600-1 (2024), sección 2.7; OWASP (2025)]</w:t>
      </w:r>
    </w:p>
    <w:p w14:paraId="43C18655" w14:textId="77777777" w:rsidR="0033689D" w:rsidRPr="00DA7F56"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Reserva tributaria:</w:t>
      </w:r>
      <w:r>
        <w:rPr>
          <w:b w:val="0"/>
          <w:bCs w:val="0"/>
          <w:color w:val="000000"/>
          <w:highlight w:val="green"/>
        </w:rPr>
        <w:t xml:space="preserve"> Carácter de información reservada que el artículo 85 del TUO del Código Tributario atribuye, por su objeto, a la cuantía y la fuente de las rentas, los gastos, la base imponible y cualesquiera otros datos relativos a ellos, cuando están contenidos en las declaraciones e informaciones que la Administración Tributaria obtiene por cualquier medio de los contribuyentes, responsables o terceros, así como a la tramitación de las denuncias a que se refiere el artículo 192 del mismo Código. Dicha información únicamente puede ser utilizada por la Administración Tributaria para sus fines propios y la obligación de reserva alcanza a quienes accedan a ella. El mismo artículo establece excepciones expresas. La determinación de si una información concreta está sujeta a reserva tributaria se efectúa respecto de esa información y no se presume respecto de todo el acervo de datos que la SUNAT administra. [D.S. N.° 133-2013-EF, Art. 85]</w:t>
      </w:r>
    </w:p>
    <w:p w14:paraId="724B51C1"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w:t>
      </w:r>
      <w:r>
        <w:rPr>
          <w:b w:val="0"/>
          <w:bCs w:val="0"/>
          <w:color w:val="000000"/>
          <w:lang w:val="en-US"/>
        </w:rPr>
        <w:t>[Ley N.° 31814, Art. 2; D.S. N.° 115-2025-PCM, Art. 6 lit. j]</w:t>
      </w:r>
    </w:p>
    <w:p w14:paraId="4E8C4203"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que ocurre cuando un SBIA toma decisiones injustas, parciales o discriminatorias, debido a datos de entrenamiento, diseño del algoritmo o interacciones humanas sesgadas. [D.S. N.° 115-2025-PCM, artículo 6, literal e; ISO/IEC 22989:2022, sección 3.1.5; NIST SP 1270 (2022)]</w:t>
      </w:r>
    </w:p>
    <w:p w14:paraId="75CD5251"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60DBD679" w14:textId="77777777" w:rsidR="00E151B6" w:rsidRPr="00E151B6" w:rsidRDefault="00E151B6">
      <w:pPr>
        <w:pStyle w:val="Prrafodelista"/>
        <w:numPr>
          <w:ilvl w:val="1"/>
          <w:numId w:val="8"/>
        </w:numPr>
        <w:spacing w:after="0" w:line="276" w:lineRule="auto"/>
        <w:ind w:left="709" w:hanging="709"/>
        <w:rPr>
          <w:b w:val="0"/>
          <w:bCs w:val="0"/>
          <w:color w:val="000000"/>
          <w:highlight w:val="green"/>
        </w:rPr>
      </w:pPr>
      <w:r>
        <w:rPr>
          <w:color w:val="000000"/>
          <w:highlight w:val="green"/>
        </w:rPr>
        <w:t>Transparencia algorítmica:</w:t>
      </w:r>
      <w:r>
        <w:rPr>
          <w:b w:val="0"/>
          <w:bCs w:val="0"/>
          <w:color w:val="000000"/>
          <w:highlight w:val="green"/>
        </w:rPr>
        <w:t xml:space="preserve"> Puesta a disposición del usuario, en lenguaje claro y con anterioridad a su interacción, de la finalidad del SBIA, de sus funcionalidades principales, del tipo de decisiones en que interviene y de sus limitaciones conocidas. No comprende la entrega del modelo, de su código fuente, de sus parámetros, de los conjuntos de datos empleados en su entrenamiento ni de las reglas de detección de riesgo, cuya divulgación se sujeta a los límites derivados del artículo 85 del TUO del Código Tributario, de la normativa sobre confidencialidad de la información aduanera y de la normativa de protección de datos personales. [D.S. N.° 115-2025-PCM, artículo 25]</w:t>
      </w:r>
    </w:p>
    <w:p w14:paraId="6CBFD345"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Uso irregular: </w:t>
      </w:r>
      <w:r>
        <w:rPr>
          <w:b w:val="0"/>
          <w:bCs w:val="0"/>
          <w:color w:val="000000"/>
        </w:rPr>
        <w:t>Empleo de un SBIA por quienes lo operan o interactúan con él en forma incompatible con su finalidad registrada o con la operación normal del proceso. Se distingue del uso indebido del artículo 23 del RLIA, que es una categoría de clasificación del SBIA. Se detecta conforme al numeral 6.10.6.</w:t>
      </w:r>
    </w:p>
    <w:p w14:paraId="1618ECD0"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t>DISPOSICIONES GENERALES</w:t>
      </w:r>
      <w:bookmarkEnd w:id="5"/>
    </w:p>
    <w:p w14:paraId="5541AD05" w14:textId="77777777" w:rsidR="00A46D47" w:rsidRPr="00923C59" w:rsidRDefault="00A46D47" w:rsidP="00A46D47">
      <w:pPr>
        <w:pStyle w:val="SubtituloDONI"/>
        <w:spacing w:line="276" w:lineRule="auto"/>
        <w:ind w:left="851"/>
      </w:pPr>
      <w:r>
        <w:t>5.1</w:t>
      </w:r>
      <w:r>
        <w:tab/>
        <w:t>De los principios para el Gobierno de IA</w:t>
      </w:r>
    </w:p>
    <w:p w14:paraId="53978144"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lastRenderedPageBreak/>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rectores establecidos en el artículo 7 del RLIA y a los compromisos de la </w:t>
      </w:r>
      <w:r>
        <w:rPr>
          <w:rFonts w:ascii="Arial" w:hAnsi="Arial" w:cs="Arial"/>
          <w:highlight w:val="yellow"/>
        </w:rPr>
        <w:t>Política de IA</w:t>
      </w:r>
      <w:r>
        <w:rPr>
          <w:rFonts w:ascii="Arial" w:eastAsia="Arial" w:hAnsi="Arial" w:cs="Arial"/>
          <w:color w:val="000000"/>
        </w:rPr>
        <w:t>, en concordancia con la ENIA.</w:t>
      </w:r>
    </w:p>
    <w:p w14:paraId="7646EF7B" w14:textId="77777777" w:rsidR="00025734" w:rsidRPr="00025734" w:rsidRDefault="00A46D47" w:rsidP="00A46D47">
      <w:pPr>
        <w:spacing w:after="60" w:line="276" w:lineRule="auto"/>
        <w:ind w:left="1276" w:hanging="720"/>
        <w:jc w:val="both"/>
        <w:rPr>
          <w:rFonts w:ascii="Arial" w:hAnsi="Arial" w:cs="Arial"/>
          <w:color w:val="000000"/>
          <w:highlight w:val="lightGray"/>
        </w:rPr>
      </w:pPr>
      <w:r>
        <w:rPr>
          <w:rFonts w:ascii="Arial" w:hAnsi="Arial" w:cs="Arial"/>
          <w:color w:val="000000"/>
          <w:highlight w:val="lightGray"/>
        </w:rPr>
        <w:t>5.1.2</w:t>
      </w:r>
      <w:r>
        <w:rPr>
          <w:rFonts w:ascii="Arial" w:hAnsi="Arial" w:cs="Arial"/>
          <w:color w:val="000000"/>
          <w:highlight w:val="lightGray"/>
        </w:rPr>
        <w:tab/>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A5E4376"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2D4ED06C" w14:textId="77777777" w:rsidR="00A46D47" w:rsidRPr="00A46D47" w:rsidRDefault="00A46D47" w:rsidP="00A46D47">
      <w:pPr>
        <w:spacing w:after="60" w:line="276" w:lineRule="auto"/>
        <w:ind w:left="1276" w:hanging="720"/>
      </w:pPr>
      <w:r>
        <w:rPr>
          <w:color w:val="000000"/>
          <w:highlight w:val="cyan"/>
        </w:rPr>
        <w:t>5.1.4</w:t>
      </w:r>
      <w:r>
        <w:rPr>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439E8ECF"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El Gobierno de IA aplica el principio de proporcionalidad: las exigencias de evaluación, supervisión y control se gradúan según el nivel de riesgo del SBIA. La proporcionalidad no exime del cumplimiento de los controles y obligaciones que el RLIA y la presente directiva establecen con carácter obligatorio para cada categoría de riesgo.</w:t>
      </w:r>
    </w:p>
    <w:p w14:paraId="34D9714B" w14:textId="77777777" w:rsidR="00863A18" w:rsidRPr="00923C59" w:rsidRDefault="00863A18" w:rsidP="00B23382">
      <w:pPr>
        <w:pStyle w:val="SubtituloDONI"/>
        <w:spacing w:line="276" w:lineRule="auto"/>
        <w:ind w:left="851"/>
      </w:pPr>
      <w:r>
        <w:t>5.2</w:t>
      </w:r>
      <w:r>
        <w:tab/>
        <w:t>De la función de Gobierno de Inteligencia Artificial</w:t>
      </w:r>
    </w:p>
    <w:p w14:paraId="14DC18C6"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SBIA estratégicos para la entidad. La calificación de estratégico corresponde al CGTD. Se efectúa a más tardar en el acto de aprobación de la clasificación de riesgo y consta en el acuerdo respectivo.</w:t>
      </w:r>
    </w:p>
    <w:p w14:paraId="5AAF2531" w14:textId="77777777" w:rsidR="00E34945" w:rsidRDefault="00E34945" w:rsidP="00E34945">
      <w:pPr>
        <w:pStyle w:val="SubtituloDONI"/>
        <w:spacing w:line="276" w:lineRule="auto"/>
        <w:ind w:left="851"/>
      </w:pPr>
      <w:r>
        <w:t>5.3</w:t>
      </w:r>
      <w:r>
        <w:tab/>
        <w:t>De la Comisión de Gobierno de IA</w:t>
      </w:r>
    </w:p>
    <w:p w14:paraId="0C32AAA9"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5.3.1</w:t>
      </w:r>
      <w:r>
        <w:rPr>
          <w:rFonts w:ascii="Arial" w:eastAsia="Arial" w:hAnsi="Arial" w:cs="Arial"/>
          <w:color w:val="000000"/>
          <w:highlight w:val="green"/>
        </w:rPr>
        <w:tab/>
        <w:t>Para el ejercicio efectivo de la función de gobierno de IA, el CGTD cuenta con la Comisión de Gobierno de IA, instancia de apoyo encargada de preparar las evaluaciones, los informes y las propuestas que el CGTD requiera para la toma de decisiones en materia de IA, y de ejercer las funciones de administración, supervisión y aprobación que la presente directiva le asigna. La Comisión de Gobierno de IA es coordinada por un Coordinador designado por el CGTD.</w:t>
      </w:r>
    </w:p>
    <w:p w14:paraId="0EC9D16A" w14:textId="77777777"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t>Las funciones de la Comisión de Gobierno de IA, en apoyo al CGTD, se definen en el numeral 5.4 y en las disposiciones específicas de la presente directiva.</w:t>
      </w:r>
    </w:p>
    <w:p w14:paraId="0EC9D16A" w14:textId="77777777"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 xml:space="preserve">5.3.3</w:t>
      </w:r>
      <w:r>
        <w:rPr>
          <w:rFonts w:ascii="Arial" w:eastAsia="Arial" w:hAnsi="Arial" w:cs="Arial"/>
          <w:color w:val="000000"/>
        </w:rPr>
        <w:tab/>
        <w:t xml:space="preserve">La condición de integrante de la Comisión de Gobierno de IA no limita ni condiciona el ejercicio de las funciones que el ROF y la normativa institucional asignan a cada unidad de organización que la integra. En particular, la Oficina de Integridad Institucional ejerce con independencia la supervisión prevista en el numeral 6.14 y el tratamiento de las conductas que se le comuniquen conforme al numeral 6.10.6, y la Intendencia Nacional de Asesoría Legal Interna ejerce con independencia la asesoría y la revisión en materia de cumplimiento normativo.</w:t>
      </w:r>
    </w:p>
    <w:p w14:paraId="3796E514" w14:textId="77777777" w:rsidR="005D662A" w:rsidRDefault="005D662A" w:rsidP="008E63B0">
      <w:pPr>
        <w:spacing w:after="60" w:line="276" w:lineRule="auto"/>
        <w:ind w:left="1276" w:hanging="720"/>
        <w:jc w:val="both"/>
        <w:rPr>
          <w:rFonts w:ascii="Arial" w:eastAsia="Arial" w:hAnsi="Arial" w:cs="Arial"/>
          <w:color w:val="000000"/>
        </w:rPr>
      </w:pPr>
    </w:p>
    <w:p w14:paraId="319EFEF7" w14:textId="77777777" w:rsidR="005D662A" w:rsidRDefault="005D662A" w:rsidP="008E63B0">
      <w:pPr>
        <w:spacing w:after="60" w:line="276" w:lineRule="auto"/>
        <w:ind w:left="1276" w:hanging="720"/>
        <w:jc w:val="both"/>
        <w:rPr>
          <w:rFonts w:ascii="Arial" w:eastAsia="Arial" w:hAnsi="Arial" w:cs="Arial"/>
          <w:color w:val="000000"/>
        </w:rPr>
      </w:pPr>
    </w:p>
    <w:p w14:paraId="39DFC6F0" w14:textId="77777777" w:rsidR="005D662A" w:rsidRDefault="005D662A" w:rsidP="008E63B0">
      <w:pPr>
        <w:spacing w:after="60" w:line="276" w:lineRule="auto"/>
        <w:ind w:left="1276" w:hanging="720"/>
        <w:jc w:val="both"/>
        <w:rPr>
          <w:rFonts w:ascii="Arial" w:eastAsia="Arial" w:hAnsi="Arial" w:cs="Arial"/>
          <w:color w:val="000000"/>
        </w:rPr>
      </w:pPr>
    </w:p>
    <w:p w14:paraId="6F7395F0" w14:textId="77777777" w:rsidR="00863A18" w:rsidRPr="00923C59" w:rsidRDefault="00863A18" w:rsidP="00B23382">
      <w:pPr>
        <w:pStyle w:val="SubtituloDONI"/>
        <w:spacing w:line="276" w:lineRule="auto"/>
        <w:ind w:left="851"/>
      </w:pPr>
      <w:r>
        <w:lastRenderedPageBreak/>
        <w:t>5.4</w:t>
      </w:r>
      <w:r>
        <w:tab/>
        <w:t>De los roles y responsabilidades</w:t>
      </w:r>
    </w:p>
    <w:p w14:paraId="404C0E80"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49E5CDB1"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0D51725"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74B9D89A"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010E4AF"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321B7D5"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F96514D"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3E77C188"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B77FDD"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B0F4C3"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AAAE82"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53F5B0FA"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13935B69"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172696E6"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w:t>
            </w:r>
            <w:r>
              <w:rPr>
                <w:b w:val="0"/>
                <w:bCs w:val="0"/>
              </w:rPr>
              <w:t>.</w:t>
            </w:r>
          </w:p>
        </w:tc>
      </w:tr>
      <w:tr w:rsidR="0081311B" w:rsidRPr="00923C59" w14:paraId="43D14FB6"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485F4B"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7C6E67"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A43B0F" w14:textId="77777777" w:rsidR="00CA74AD" w:rsidRPr="00CA74AD" w:rsidRDefault="00CA74AD"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Lidera, dirige, evalúa y supervisa los proyectos de SBIA estratégicos para la entidad, conforme al numeral 5.2.1.</w:t>
            </w:r>
          </w:p>
          <w:p w14:paraId="217A9FE5" w14:textId="77777777" w:rsidR="00CA74AD" w:rsidRDefault="002840F0"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 xml:space="preserve">Aprueba la clasificación de riesgo de todos los SBIA conforme al numeral 6.2.2: de manera individual en los de riesgo alto y en los estratégicos para la entidad, y de manera agregada en los demás de riesgo aceptable. </w:t>
            </w:r>
          </w:p>
          <w:p w14:paraId="7854C7F7" w14:textId="7F312CB6" w:rsidR="002840F0" w:rsidRPr="00F775C3" w:rsidRDefault="00F775C3" w:rsidP="0047575A">
            <w:pPr>
              <w:pStyle w:val="Prrafodelista"/>
              <w:numPr>
                <w:ilvl w:val="0"/>
                <w:numId w:val="13"/>
              </w:numPr>
              <w:spacing w:before="20" w:after="20" w:line="276" w:lineRule="auto"/>
              <w:ind w:left="299" w:hanging="283"/>
              <w:jc w:val="left"/>
              <w:rPr>
                <w:b w:val="0"/>
                <w:bCs w:val="0"/>
                <w:highlight w:val="green"/>
              </w:rPr>
            </w:pPr>
            <w:r w:rsidRPr="00F775C3">
              <w:rPr>
                <w:b w:val="0"/>
                <w:bCs w:val="0"/>
                <w:highlight w:val="green"/>
              </w:rPr>
              <w:t>Aprueba los casos de uso. Valida el Plan de Acción de Inteligencia Artificial, conforme al numeral 5.3 del artículo 5 de la Resolución Ministerial N.° 152-2026-PCM y al numeral 7.11 de la presente directiva.</w:t>
            </w:r>
          </w:p>
          <w:p w14:paraId="67883C46" w14:textId="77777777" w:rsidR="007B626B" w:rsidRDefault="0081311B" w:rsidP="007B626B">
            <w:pPr>
              <w:pStyle w:val="Prrafodelista"/>
              <w:numPr>
                <w:ilvl w:val="0"/>
                <w:numId w:val="13"/>
              </w:numPr>
              <w:spacing w:before="20" w:after="20" w:line="276" w:lineRule="auto"/>
              <w:ind w:left="267" w:hanging="267"/>
              <w:jc w:val="left"/>
              <w:rPr>
                <w:b w:val="0"/>
                <w:bCs w:val="0"/>
              </w:rPr>
            </w:pPr>
            <w:r>
              <w:rPr>
                <w:b w:val="0"/>
                <w:bCs w:val="0"/>
              </w:rPr>
              <w:t>Aprueba la EIA de SBIA de riesgo alto.</w:t>
            </w:r>
          </w:p>
          <w:p w14:paraId="707D38D8" w14:textId="77777777" w:rsidR="007B626B" w:rsidRPr="007B626B" w:rsidRDefault="007B626B" w:rsidP="007B626B">
            <w:pPr>
              <w:pStyle w:val="Prrafodelista"/>
              <w:numPr>
                <w:ilvl w:val="0"/>
                <w:numId w:val="13"/>
              </w:numPr>
              <w:spacing w:before="20" w:after="20" w:line="276" w:lineRule="auto"/>
              <w:ind w:left="267" w:hanging="267"/>
              <w:jc w:val="left"/>
              <w:rPr>
                <w:highlight w:val="green"/>
              </w:rPr>
            </w:pPr>
            <w:r>
              <w:rPr>
                <w:b w:val="0"/>
                <w:bCs w:val="0"/>
                <w:highlight w:val="green"/>
              </w:rPr>
              <w:t xml:space="preserve">Verifica la causal y resuelve sobre el componente de IA cuando la Comisión de Gobierno de IA emite </w:t>
            </w:r>
            <w:r>
              <w:rPr>
                <w:b w:val="0"/>
                <w:bCs w:val="0"/>
                <w:highlight w:val="green"/>
              </w:rPr>
              <w:lastRenderedPageBreak/>
              <w:t>pronunciamiento no favorable, en los casos y con el alcance previstos en el numeral 6.1.4.</w:t>
            </w:r>
          </w:p>
          <w:p w14:paraId="0EFABA7F" w14:textId="77777777" w:rsidR="0081311B" w:rsidRPr="00923C59" w:rsidRDefault="0081311B" w:rsidP="007B626B">
            <w:pPr>
              <w:pStyle w:val="Prrafodelista"/>
              <w:numPr>
                <w:ilvl w:val="0"/>
                <w:numId w:val="13"/>
              </w:numPr>
              <w:spacing w:before="20" w:after="20" w:line="276" w:lineRule="auto"/>
              <w:ind w:left="267" w:hanging="267"/>
              <w:jc w:val="left"/>
            </w:pPr>
            <w:r>
              <w:rPr>
                <w:b w:val="0"/>
                <w:bCs w:val="0"/>
                <w:highlight w:val="green"/>
              </w:rPr>
              <w:t>Revisa los informes trimestrales de la Comisión de Gobierno de IA.</w:t>
            </w:r>
          </w:p>
        </w:tc>
      </w:tr>
      <w:tr w:rsidR="008E63B0" w:rsidRPr="00923C59" w14:paraId="020343E3"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EBCE16" w14:textId="77777777" w:rsidR="008E63B0" w:rsidRDefault="008E63B0" w:rsidP="00B23382">
            <w:pPr>
              <w:spacing w:before="20" w:after="20" w:line="276" w:lineRule="auto"/>
              <w:rPr>
                <w:rFonts w:ascii="Arial" w:eastAsia="Arial" w:hAnsi="Arial" w:cs="Arial"/>
                <w:b/>
                <w:bCs/>
              </w:rPr>
            </w:pPr>
            <w:r>
              <w:rPr>
                <w:rFonts w:ascii="Arial" w:eastAsia="Arial" w:hAnsi="Arial" w:cs="Arial"/>
                <w:b/>
                <w:bCs/>
              </w:rPr>
              <w:lastRenderedPageBreak/>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4DFB15" w14:textId="77777777"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A62D5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Preparar la propuesta del Plan de Acción de Inteligencia Artificial y sus actualizaciones, conforme al numeral 7.11.</w:t>
            </w:r>
          </w:p>
          <w:p w14:paraId="28266535"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Evaluar el componente de IA de las iniciativas, requerimientos y proyectos que propongan las unidades de organización, con el alcance previsto en el numeral 6.15.1, y elevar al CGTD su recomendación fundamentada. Cuando otra unidad de organización ya se ha pronunciado dentro de su competencia, la Comisión no vuelve a evaluar esa materia: toma su pronunciamiento y se pronuncia solo sobre el componente de IA.</w:t>
            </w:r>
          </w:p>
          <w:p w14:paraId="64056CBB" w14:textId="77777777" w:rsidR="002840F0" w:rsidRPr="002840F0" w:rsidRDefault="002840F0" w:rsidP="00DE4308">
            <w:pPr>
              <w:pStyle w:val="Prrafodelista"/>
              <w:numPr>
                <w:ilvl w:val="0"/>
                <w:numId w:val="13"/>
              </w:numPr>
              <w:spacing w:before="0" w:after="60" w:line="276" w:lineRule="auto"/>
              <w:ind w:left="269" w:hanging="269"/>
              <w:jc w:val="left"/>
              <w:rPr>
                <w:b w:val="0"/>
                <w:bCs w:val="0"/>
                <w:highlight w:val="green"/>
              </w:rPr>
            </w:pPr>
            <w:r>
              <w:rPr>
                <w:b w:val="0"/>
                <w:bCs w:val="0"/>
                <w:highlight w:val="green"/>
              </w:rPr>
              <w:t>Proponer la clasificación de riesgo de cada SBIA, previo al inicio del desarrollo o adquisición, y elevar al CGTD la relación de las propuestas de riesgo aceptable para su aprobación agregada; la aprobación corresponde conforme al numeral 6.2.2.</w:t>
            </w:r>
          </w:p>
          <w:p w14:paraId="3F2930E7" w14:textId="77777777" w:rsidR="008E63B0" w:rsidRPr="008E63B0" w:rsidRDefault="008E63B0" w:rsidP="00DE4308">
            <w:pPr>
              <w:pStyle w:val="Prrafodelista"/>
              <w:numPr>
                <w:ilvl w:val="0"/>
                <w:numId w:val="13"/>
              </w:numPr>
              <w:spacing w:before="0" w:after="60" w:line="276" w:lineRule="auto"/>
              <w:ind w:left="269" w:hanging="269"/>
              <w:jc w:val="left"/>
              <w:rPr>
                <w:b w:val="0"/>
                <w:bCs w:val="0"/>
              </w:rPr>
            </w:pPr>
            <w:r>
              <w:rPr>
                <w:b w:val="0"/>
                <w:bCs w:val="0"/>
                <w:highlight w:val="cyan"/>
              </w:rPr>
              <w:t>Asegurar el cumplimiento del Gobierno de IA en la SUNAT.</w:t>
            </w:r>
          </w:p>
          <w:p w14:paraId="2A45E822"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cyan"/>
              </w:rPr>
              <w:t>Revisar las evaluaciones de impacto algorítmico y elevarlas al CGTD para su aprobación, conforme al numeral 6.4.2.</w:t>
            </w:r>
          </w:p>
          <w:p w14:paraId="56E72E80"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Administrar el Inventario Institucional de SBIA.</w:t>
            </w:r>
          </w:p>
          <w:p w14:paraId="7DEFCFA5"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lastRenderedPageBreak/>
              <w:t>Supervisar el cumplimiento de los hitos de aprobación del ciclo de vida de los SBIA y consolidar los informes de monitoreo, verificación técnica de seguridad e incidentes para conocimiento del CGTD.</w:t>
            </w:r>
          </w:p>
          <w:p w14:paraId="73FDE366"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los hitos del ciclo de vida que le corresponden conforme al numeral 6.1.2 y el ciclo de vida simplificado de los SBIA de riesgo aceptable.</w:t>
            </w:r>
          </w:p>
          <w:p w14:paraId="6E09C700"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el plan de monitoreo de cada SBIA conforme al numeral 6.10.1 y emitir la conformidad del mecanismo de supervisión humana prevista en el numeral 6.6.2.</w:t>
            </w:r>
          </w:p>
          <w:p w14:paraId="08242A16"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Proponer lineamientos técnicos complementarios en materia de gobierno de IA y coordinar la articulación con la SGTD.</w:t>
            </w:r>
          </w:p>
          <w:p w14:paraId="6E6F54CC"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yellow"/>
              </w:rPr>
              <w:t>Administrar y centralizar la evaluación de los riesgos de los SBIA.</w:t>
            </w:r>
          </w:p>
          <w:p w14:paraId="401508E6" w14:textId="77777777" w:rsidR="008E63B0" w:rsidRDefault="008E63B0" w:rsidP="008E63B0">
            <w:pPr>
              <w:pStyle w:val="Prrafodelista"/>
              <w:numPr>
                <w:ilvl w:val="0"/>
                <w:numId w:val="13"/>
              </w:numPr>
              <w:spacing w:before="20" w:after="20" w:line="276" w:lineRule="auto"/>
              <w:ind w:left="273" w:hanging="273"/>
              <w:jc w:val="left"/>
              <w:rPr>
                <w:b w:val="0"/>
                <w:bCs w:val="0"/>
              </w:rPr>
            </w:pPr>
            <w:r>
              <w:rPr>
                <w:b w:val="0"/>
                <w:bCs w:val="0"/>
                <w:highlight w:val="cyan"/>
              </w:rPr>
              <w:t>Convocar a otras unidades de organización y a especialistas adicionales según la materia y la complejidad del caso de uso.</w:t>
            </w:r>
          </w:p>
        </w:tc>
      </w:tr>
    </w:tbl>
    <w:p w14:paraId="52501742" w14:textId="77777777" w:rsidR="00B34A74" w:rsidRDefault="00B34A74" w:rsidP="005D662A">
      <w:pPr>
        <w:pStyle w:val="SubtituloDONI"/>
        <w:spacing w:before="0" w:after="0" w:line="276" w:lineRule="auto"/>
        <w:ind w:left="851"/>
      </w:pPr>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3D0F35F7" w14:textId="77777777" w:rsidTr="005D662A">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59916DE" w14:textId="77777777" w:rsidR="00B34A74" w:rsidRDefault="00B34A74" w:rsidP="003D4DEA">
            <w:pPr>
              <w:spacing w:before="20" w:after="20" w:line="276" w:lineRule="auto"/>
              <w:rPr>
                <w:rFonts w:ascii="Arial" w:eastAsia="Arial" w:hAnsi="Arial" w:cs="Arial"/>
                <w:b/>
                <w:bCs/>
              </w:rPr>
            </w:pPr>
            <w:r>
              <w:rPr>
                <w:rFonts w:ascii="Arial" w:eastAsia="Arial" w:hAnsi="Arial" w:cs="Arial"/>
                <w:b/>
                <w:bCs/>
              </w:rPr>
              <w:t>Integrantes de la Comisión de Gobierno de IA</w:t>
            </w:r>
          </w:p>
        </w:tc>
      </w:tr>
      <w:tr w:rsidR="00B34A74" w:rsidRPr="00923C59" w14:paraId="61DEE535" w14:textId="77777777" w:rsidTr="003D4DEA">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B960D1D"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681D6D9" w14:textId="77777777" w:rsidR="00B34A74" w:rsidRPr="00923C59" w:rsidRDefault="00B34A74" w:rsidP="003D4DEA">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E1BF6FC"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Responsabilidades</w:t>
            </w:r>
          </w:p>
        </w:tc>
      </w:tr>
      <w:tr w:rsidR="00B34A74" w14:paraId="0374076E"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0BFCEB"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F294F8" w14:textId="77777777" w:rsidR="00B34A74" w:rsidRDefault="00B34A74" w:rsidP="003D4DEA">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49C083"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p w14:paraId="7A6B5A4C"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 xml:space="preserve">Supervisa y evalúa que los modelos y algoritmos de los SBIA de riesgo </w:t>
            </w:r>
            <w:r>
              <w:rPr>
                <w:b w:val="0"/>
                <w:bCs w:val="0"/>
              </w:rPr>
              <w:lastRenderedPageBreak/>
              <w:t xml:space="preserve">alto cumplan los estándares de calidad y ética aplicables, conforme al numeral 6.5 del artículo 6 de la Resolución Ministerial N.° 152-2026-PCM. La ejerce en coordinación con las unidades de organización y con los propietarios de los casos de uso, y se apoya en las verificaciones previstas en los numerales 6.6.4, 6.10.3 y 6.14.</w:t>
            </w:r>
          </w:p>
        </w:tc>
      </w:tr>
      <w:tr w:rsidR="00B34A74" w14:paraId="61C84ECF"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4DB725" w14:textId="77777777" w:rsidR="00B34A74" w:rsidRDefault="00B34A74" w:rsidP="003D4DEA">
            <w:pPr>
              <w:spacing w:after="0" w:line="276" w:lineRule="auto"/>
            </w:pPr>
            <w:r>
              <w:rPr>
                <w:rFonts w:ascii="Arial" w:eastAsia="Arial" w:hAnsi="Arial" w:cs="Arial"/>
                <w:b/>
                <w:bCs/>
                <w:color w:val="000000"/>
              </w:rPr>
              <w:lastRenderedPageBreak/>
              <w:t>Oficial de</w:t>
            </w:r>
          </w:p>
          <w:p w14:paraId="6177B20C" w14:textId="77777777" w:rsidR="00B34A74" w:rsidRPr="00923C59" w:rsidRDefault="00B34A74" w:rsidP="003D4DEA">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7F66B9F"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8B96DD"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D278FE7"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6729C680"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43663" w14:textId="77777777" w:rsidR="00B34A74" w:rsidRDefault="00B34A74" w:rsidP="003D4DEA">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274FFA"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3405C3"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58CDB872"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06F2B81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B11B94" w14:textId="77777777" w:rsidR="00B34A74" w:rsidRDefault="00B34A74" w:rsidP="003D4DEA">
            <w:pPr>
              <w:spacing w:after="0" w:line="276" w:lineRule="auto"/>
            </w:pPr>
            <w:r>
              <w:rPr>
                <w:rFonts w:ascii="Arial" w:eastAsia="Arial" w:hAnsi="Arial" w:cs="Arial"/>
                <w:b/>
                <w:bCs/>
                <w:color w:val="000000"/>
                <w:highlight w:val="yellow"/>
              </w:rPr>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BD900"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40C5D8" w14:textId="77777777" w:rsidR="00B34A74" w:rsidRDefault="00E51968" w:rsidP="003D4DEA">
            <w:pPr>
              <w:pStyle w:val="Prrafodelista"/>
              <w:numPr>
                <w:ilvl w:val="0"/>
                <w:numId w:val="14"/>
              </w:numPr>
              <w:spacing w:before="20" w:after="20" w:line="276" w:lineRule="auto"/>
              <w:ind w:left="299" w:hanging="283"/>
              <w:jc w:val="left"/>
              <w:rPr>
                <w:b w:val="0"/>
                <w:bCs w:val="0"/>
              </w:rPr>
            </w:pPr>
            <w:r>
              <w:rPr>
                <w:b w:val="0"/>
                <w:bCs w:val="0"/>
                <w:color w:val="000000"/>
                <w:highlight w:val="green"/>
              </w:rPr>
              <w:t xml:space="preserve">En materia de seguridad digital: asegura y supervisa la adopción de los estándares y normas técnicas de seguridad de la información cuando la INSI desarrolla, adquiere o terceriza SBIA. Propone las medidas de gestión de riesgos de seguridad de la información aplicables a los SBIA. Comunica al </w:t>
            </w:r>
            <w:r>
              <w:rPr>
                <w:b w:val="0"/>
                <w:bCs w:val="0"/>
                <w:color w:val="000000"/>
                <w:highlight w:val="green"/>
              </w:rPr>
              <w:lastRenderedPageBreak/>
              <w:t>Centro Nacional de Seguridad Digital (CNSD) los incidentes de seguridad digital que involucren un SBIA y los informa a la máxima autoridad administrativa de la entidad, conforme a la Directiva N.° 001-2023-PCM/SGTD. Informa al CGTD los que resulten críticos. Cuando un SBIA constituya un activo de información de un proceso comprendido en el alcance del SGSI, coordina la aplicación de los controles que correspondan.</w:t>
            </w:r>
          </w:p>
        </w:tc>
      </w:tr>
      <w:tr w:rsidR="00B34A74" w14:paraId="127F3D70"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8C8B1E"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C1CC0D" w14:textId="77777777" w:rsidR="00B34A74" w:rsidRPr="00923C59" w:rsidRDefault="00B34A74" w:rsidP="003D4DEA">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BDD382"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4067F253"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EC83AA8"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4E834B3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64B5A6"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99717A" w14:textId="77777777" w:rsidR="00B34A74" w:rsidRPr="00923C59" w:rsidRDefault="00B34A74" w:rsidP="003D4DEA">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A33CCC"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76603207" w14:textId="77777777" w:rsidR="00B34A74" w:rsidRPr="00834FEE" w:rsidRDefault="00B34A74" w:rsidP="003D4DEA">
            <w:pPr>
              <w:pStyle w:val="Prrafodelista"/>
              <w:numPr>
                <w:ilvl w:val="0"/>
                <w:numId w:val="15"/>
              </w:numPr>
              <w:spacing w:before="20" w:after="20" w:line="276" w:lineRule="auto"/>
              <w:ind w:left="299" w:hanging="283"/>
              <w:jc w:val="left"/>
              <w:rPr>
                <w:b w:val="0"/>
                <w:bCs w:val="0"/>
                <w:highlight w:val="green"/>
              </w:rPr>
            </w:pPr>
            <w:r>
              <w:rPr>
                <w:b w:val="0"/>
                <w:bCs w:val="0"/>
                <w:highlight w:val="yellow"/>
              </w:rPr>
              <w:t xml:space="preserve">Asesora sobre el cumplimiento normativo de los SBIA. </w:t>
            </w:r>
            <w:r>
              <w:rPr>
                <w:b w:val="0"/>
                <w:bCs w:val="0"/>
                <w:highlight w:val="green"/>
              </w:rPr>
              <w:t xml:space="preserve">Revisa la EIA en materia de cumplimiento normativo. Cuando la revisión comprenda el sentido y el alcance de las normas tributarias o </w:t>
            </w:r>
            <w:r>
              <w:rPr>
                <w:b w:val="0"/>
                <w:bCs w:val="0"/>
                <w:highlight w:val="green"/>
              </w:rPr>
              <w:lastRenderedPageBreak/>
              <w:t>aduaneras, se pronuncia la Intendencia Nacional Jurídico Tributaria o la Intendencia Nacional Jurídico Aduanera, según la materia, a convocatoria de la Comisión de Gobierno de IA.</w:t>
            </w:r>
          </w:p>
          <w:p w14:paraId="636C212A"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6413461" w14:textId="77777777" w:rsidR="00B34A74"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Absuelve las consultas legales sobre IA que no versen sobre materias de competencia de la Intendencia Nacional Jurídico Tributaria o de la Intendencia Nacional Jurídico Aduanera, conforme al artículo 55 del ROF.</w:t>
            </w:r>
          </w:p>
        </w:tc>
      </w:tr>
      <w:tr w:rsidR="00B34A74" w14:paraId="66A7D25F"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DE8B4D4"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6DDF91" w14:textId="77777777" w:rsidR="00B34A74" w:rsidRPr="00923C59" w:rsidRDefault="00B34A74" w:rsidP="003D4DEA">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267A25" w14:textId="77777777" w:rsid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 xml:space="preserve">Efectúa el análisis de riesgo y las pruebas de vulnerabilidad sobre la arquitectura de aplicaciones, de información y de infraestructura tecnológica que soporta los SBIA, conforme al literal b) del artículo 106 del ROF. </w:t>
            </w:r>
          </w:p>
          <w:p w14:paraId="4428A752" w14:textId="77777777" w:rsidR="00B34A74" w:rsidRP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Evalúa y propone los requisitos de seguridad de los SBIA, conforme al literal e) del mismo artículo (OSI).</w:t>
            </w:r>
          </w:p>
        </w:tc>
      </w:tr>
      <w:tr w:rsidR="00B34A74" w14:paraId="18DB8D75"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3E81B1"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0254D2" w14:textId="77777777" w:rsidR="00B34A74" w:rsidRPr="00923C59" w:rsidRDefault="00B34A74" w:rsidP="003D4DEA">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07CB6E1"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7B80D796"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7E405A7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CE6DA3" w14:textId="77777777" w:rsidR="00B34A74" w:rsidRPr="00923C59" w:rsidRDefault="00B34A74" w:rsidP="003D4DEA">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50DF88" w14:textId="77777777" w:rsidR="00B34A74" w:rsidRPr="00923C59" w:rsidRDefault="00B34A74" w:rsidP="003D4DEA">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9C2BAA" w14:textId="77777777" w:rsidR="00B34A74" w:rsidRPr="00B34A74" w:rsidRDefault="00B34A74" w:rsidP="003D4DEA">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2E43E8A2" w14:textId="77777777" w:rsidR="00B34A74" w:rsidRDefault="00951287" w:rsidP="003D4DEA">
            <w:pPr>
              <w:pStyle w:val="Prrafodelista"/>
              <w:numPr>
                <w:ilvl w:val="0"/>
                <w:numId w:val="16"/>
              </w:numPr>
              <w:spacing w:before="20" w:after="20" w:line="276" w:lineRule="auto"/>
              <w:ind w:left="299" w:hanging="283"/>
              <w:jc w:val="left"/>
              <w:rPr>
                <w:b w:val="0"/>
                <w:bCs w:val="0"/>
              </w:rPr>
            </w:pPr>
            <w:r>
              <w:rPr>
                <w:b w:val="0"/>
                <w:bCs w:val="0"/>
                <w:highlight w:val="green"/>
              </w:rPr>
              <w:t xml:space="preserve">Asegura que los SBIA se incorporen al Plan de Sistemas de la INSI, que elabora la División de Gestión de </w:t>
            </w:r>
            <w:r>
              <w:rPr>
                <w:b w:val="0"/>
                <w:bCs w:val="0"/>
                <w:highlight w:val="green"/>
              </w:rPr>
              <w:lastRenderedPageBreak/>
              <w:t>Procesos de Sistemas conforme al literal a) del artículo 112 del ROF.</w:t>
            </w:r>
          </w:p>
        </w:tc>
      </w:tr>
      <w:tr w:rsidR="00B34A74" w14:paraId="694734A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AF88C"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lastRenderedPageBreak/>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7DD59F" w14:textId="77777777" w:rsidR="00B34A74" w:rsidRDefault="00B34A74" w:rsidP="003D4DEA">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790888" w14:textId="77777777" w:rsidR="0029383A" w:rsidRPr="0029383A" w:rsidRDefault="0029383A"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un enfoque holístico, sistemático y con sinergia en el desarrollo del caso de negocio de las iniciativas de SBIA.</w:t>
            </w:r>
          </w:p>
          <w:p w14:paraId="38492618" w14:textId="77777777" w:rsidR="00B34A74" w:rsidRPr="0029383A" w:rsidRDefault="00B34A74"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la reusabilidad de las soluciones tecnológicas en el desarrollo del caso de negocio de los SBIA.</w:t>
            </w:r>
          </w:p>
        </w:tc>
      </w:tr>
      <w:tr w:rsidR="00B34A74" w14:paraId="3CF7033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BBB742E" w14:textId="77777777" w:rsidR="00B34A74" w:rsidRPr="005B30EE" w:rsidRDefault="005B30EE" w:rsidP="003D4DEA">
            <w:pPr>
              <w:spacing w:before="20" w:after="20" w:line="276" w:lineRule="auto"/>
              <w:rPr>
                <w:rFonts w:ascii="Arial" w:hAnsi="Arial" w:cs="Arial"/>
                <w:highlight w:val="lightGray"/>
              </w:rPr>
            </w:pPr>
            <w:r>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650B8A" w14:textId="77777777" w:rsidR="00B34A74" w:rsidRPr="005B30EE" w:rsidRDefault="005B30EE" w:rsidP="003D4DEA">
            <w:pPr>
              <w:spacing w:before="20" w:after="20" w:line="276" w:lineRule="auto"/>
              <w:rPr>
                <w:rFonts w:ascii="Arial" w:hAnsi="Arial" w:cs="Arial"/>
                <w:highlight w:val="lightGray"/>
              </w:rPr>
            </w:pPr>
            <w:r>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78664D" w14:textId="77777777" w:rsid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 xml:space="preserve">En materia de negocio: aporta a la Comisión de Gobierno de IA la visión del ámbito de la Superintendencia Nacional Adjunta que lo designa. </w:t>
            </w:r>
          </w:p>
          <w:p w14:paraId="61F98883" w14:textId="77777777" w:rsidR="00B34A74" w:rsidRP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Contribuye a la evaluación del componente de IA con el conocimiento operativo de los procesos de dicho ámbito y de su impacto en los administrados. Su participación es permanente y no sustituye la del propietario del caso de uso, a quien la Comisión convoca cuando se evalúa un caso de uso de su proceso.</w:t>
            </w:r>
          </w:p>
        </w:tc>
      </w:tr>
    </w:tbl>
    <w:p w14:paraId="278FF41E" w14:textId="77777777" w:rsidR="005D662A" w:rsidRDefault="005D662A" w:rsidP="005D662A">
      <w:pPr>
        <w:pStyle w:val="Ttulo1"/>
        <w:numPr>
          <w:ilvl w:val="0"/>
          <w:numId w:val="0"/>
        </w:numPr>
        <w:spacing w:before="0" w:after="0" w:line="276" w:lineRule="auto"/>
        <w:ind w:left="709"/>
        <w:rPr>
          <w:rFonts w:cs="Arial"/>
          <w:szCs w:val="22"/>
        </w:rPr>
      </w:pPr>
      <w:bookmarkStart w:id="6" w:name="_Toc235003966"/>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5D662A" w:rsidRPr="003D4DEA" w14:paraId="739C53E6" w14:textId="77777777" w:rsidTr="005D662A">
        <w:trPr>
          <w:trHeight w:val="639"/>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4CB5C03A" w14:textId="77777777" w:rsidR="005D662A" w:rsidRPr="003D4DEA" w:rsidRDefault="005D662A" w:rsidP="00CA63CE">
            <w:pPr>
              <w:spacing w:before="20" w:after="20" w:line="276" w:lineRule="auto"/>
              <w:jc w:val="both"/>
              <w:rPr>
                <w:highlight w:val="yellow"/>
              </w:rPr>
            </w:pPr>
            <w:r>
              <w:rPr>
                <w:rFonts w:ascii="Arial" w:eastAsia="Arial" w:hAnsi="Arial" w:cs="Arial"/>
                <w:b/>
                <w:bCs/>
              </w:rPr>
              <w:t>Otras unidades de organización con responsabilidad en el gobierno de IA</w:t>
            </w:r>
          </w:p>
        </w:tc>
      </w:tr>
      <w:tr w:rsidR="005D662A" w14:paraId="6A791DF4" w14:textId="77777777" w:rsidTr="005D662A">
        <w:trPr>
          <w:trHeight w:val="580"/>
          <w:tblHeader/>
        </w:trPr>
        <w:tc>
          <w:tcPr>
            <w:tcW w:w="1843" w:type="dxa"/>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6D0B8B76" w14:textId="2CAE7192" w:rsidR="005D662A" w:rsidRPr="005D662A" w:rsidRDefault="005D662A" w:rsidP="005D662A">
            <w:pPr>
              <w:spacing w:before="20" w:after="20" w:line="276" w:lineRule="auto"/>
              <w:jc w:val="both"/>
              <w:rPr>
                <w:rFonts w:ascii="Arial" w:eastAsia="Arial" w:hAnsi="Arial" w:cs="Arial"/>
                <w:b/>
                <w:bCs/>
              </w:rPr>
            </w:pPr>
            <w:r w:rsidRPr="005D662A">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6EF20C93" w14:textId="3D1F4DE1" w:rsidR="005D662A" w:rsidRPr="005D662A" w:rsidRDefault="005D662A" w:rsidP="005D662A">
            <w:pPr>
              <w:spacing w:before="20" w:after="20" w:line="276" w:lineRule="auto"/>
              <w:jc w:val="both"/>
              <w:rPr>
                <w:rFonts w:ascii="Arial" w:eastAsia="Arial" w:hAnsi="Arial" w:cs="Arial"/>
                <w:b/>
                <w:bCs/>
              </w:rPr>
            </w:pPr>
            <w:r w:rsidRPr="005D662A">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56D95405" w14:textId="3FDEAB95" w:rsidR="005D662A" w:rsidRPr="005D662A" w:rsidRDefault="005D662A" w:rsidP="005D662A">
            <w:pPr>
              <w:spacing w:before="20" w:after="20" w:line="276" w:lineRule="auto"/>
              <w:jc w:val="both"/>
              <w:rPr>
                <w:rFonts w:ascii="Arial" w:eastAsia="Arial" w:hAnsi="Arial" w:cs="Arial"/>
                <w:b/>
                <w:bCs/>
              </w:rPr>
            </w:pPr>
            <w:r w:rsidRPr="005D662A">
              <w:rPr>
                <w:rFonts w:ascii="Arial" w:eastAsia="Arial" w:hAnsi="Arial" w:cs="Arial"/>
                <w:b/>
                <w:bCs/>
              </w:rPr>
              <w:t>Responsabilidades</w:t>
            </w:r>
          </w:p>
        </w:tc>
      </w:tr>
      <w:tr w:rsidR="005D662A" w14:paraId="2640B102" w14:textId="77777777" w:rsidTr="00CA63C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4B8ECC" w14:textId="77777777" w:rsidR="005D662A" w:rsidRDefault="005D662A" w:rsidP="00CA63CE">
            <w:pPr>
              <w:spacing w:before="20" w:after="20" w:line="276" w:lineRule="auto"/>
              <w:rPr>
                <w:rFonts w:ascii="Arial" w:hAnsi="Arial" w:cs="Arial"/>
              </w:rPr>
            </w:pPr>
            <w:r>
              <w:rPr>
                <w:rFonts w:ascii="Arial" w:eastAsia="Arial" w:hAnsi="Arial" w:cs="Arial"/>
                <w:b/>
                <w:bCs/>
                <w:highlight w:val="yellow"/>
              </w:rPr>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B205D9" w14:textId="77777777" w:rsidR="005D662A" w:rsidRDefault="005D662A" w:rsidP="00CA63CE">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71239"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Supervisa la formulación y actualización de las estrategias de gestión de recursos humanos relacionadas con la adopción y el uso de los SBIA, y las propone, conforme al literal a) del artículo 197 del ROF.</w:t>
            </w:r>
          </w:p>
          <w:p w14:paraId="06A2FDFC"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lastRenderedPageBreak/>
              <w:t>Conduce el proceso de elaboración de las acciones de sensibilización, concientización y capacitación en IA, diferenciadas por grupos de uso de SBIA, y eleva la propuesta para su aprobación, conforme al literal f) del artículo 197 del ROF.</w:t>
            </w:r>
          </w:p>
          <w:p w14:paraId="35F667E4"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Promueve la adopción de la inteligencia artificial en el ámbito de las personas, conforme al numeral 6.13.3.</w:t>
            </w:r>
          </w:p>
          <w:p w14:paraId="48FC6A46"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1685CE1B"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r w:rsidR="005D662A" w14:paraId="3D75E0F1" w14:textId="77777777" w:rsidTr="00CA63C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D37358" w14:textId="77777777" w:rsidR="005D662A" w:rsidRDefault="005D662A" w:rsidP="00CA63CE">
            <w:pPr>
              <w:spacing w:before="20" w:after="20" w:line="276" w:lineRule="auto"/>
              <w:rPr>
                <w:rFonts w:ascii="Arial" w:hAnsi="Arial" w:cs="Arial"/>
              </w:rPr>
            </w:pPr>
            <w:r>
              <w:rPr>
                <w:rFonts w:ascii="Arial" w:eastAsia="Arial" w:hAnsi="Arial" w:cs="Arial"/>
                <w:b/>
                <w:bCs/>
              </w:rPr>
              <w:lastRenderedPageBreak/>
              <w:t>Interpretación normativa tributaria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FCB3BC" w14:textId="77777777" w:rsidR="005D662A" w:rsidRDefault="005D662A" w:rsidP="00CA63CE">
            <w:pPr>
              <w:spacing w:before="20" w:after="20" w:line="276" w:lineRule="auto"/>
              <w:rPr>
                <w:rFonts w:ascii="Arial" w:hAnsi="Arial" w:cs="Arial"/>
              </w:rPr>
            </w:pPr>
            <w:r>
              <w:rPr>
                <w:rFonts w:ascii="Arial" w:eastAsia="Arial" w:hAnsi="Arial" w:cs="Arial"/>
              </w:rPr>
              <w:t>INJT</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88190D"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Interpreta, con carácter vinculante, el sentido y el alcance de las normas tributarias, conforme al artículo 362 del ROF.</w:t>
            </w:r>
          </w:p>
          <w:p w14:paraId="1135D4D4"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Emite opinión legal vinculante sobre las consultas que le formulan las unidades de organización en las materias de su competencia, conforme al literal c) del artículo 363 del ROF.</w:t>
            </w:r>
          </w:p>
          <w:p w14:paraId="593278F8"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La Comisión de Gobierno de IA la convoca conforme a los numerales 6.4.2, 6.7.8 y 6.8.3.</w:t>
            </w:r>
          </w:p>
          <w:p w14:paraId="0057A587"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La Gerencia de Arquitectura solicita su opinión conforme al numeral 6.5.8.</w:t>
            </w:r>
          </w:p>
        </w:tc>
      </w:tr>
      <w:tr w:rsidR="005D662A" w14:paraId="7876BAE1" w14:textId="77777777" w:rsidTr="00CA63C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436088" w14:textId="77777777" w:rsidR="005D662A" w:rsidRDefault="005D662A" w:rsidP="00CA63CE">
            <w:pPr>
              <w:spacing w:before="20" w:after="20" w:line="276" w:lineRule="auto"/>
              <w:rPr>
                <w:rFonts w:ascii="Arial" w:hAnsi="Arial" w:cs="Arial"/>
              </w:rPr>
            </w:pPr>
            <w:r>
              <w:rPr>
                <w:rFonts w:ascii="Arial" w:eastAsia="Arial" w:hAnsi="Arial" w:cs="Arial"/>
                <w:b/>
                <w:bCs/>
              </w:rPr>
              <w:t>Interpretación normativa aduanera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DB279C" w14:textId="77777777" w:rsidR="005D662A" w:rsidRDefault="005D662A" w:rsidP="00CA63CE">
            <w:pPr>
              <w:spacing w:before="20" w:after="20" w:line="276" w:lineRule="auto"/>
              <w:rPr>
                <w:rFonts w:ascii="Arial" w:hAnsi="Arial" w:cs="Arial"/>
              </w:rPr>
            </w:pPr>
            <w:r>
              <w:rPr>
                <w:rFonts w:ascii="Arial" w:eastAsia="Arial" w:hAnsi="Arial" w:cs="Arial"/>
              </w:rPr>
              <w:t>INJA</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8B5C38"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Interpreta, con carácter vinculante, el sentido y el alcance de las normas en materia aduanera, conforme al artículo 453 del ROF.</w:t>
            </w:r>
          </w:p>
          <w:p w14:paraId="185DB44D"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 xml:space="preserve">Emite opinión legal vinculante y absuelve las consultas que le </w:t>
            </w:r>
            <w:r>
              <w:rPr>
                <w:b w:val="0"/>
                <w:bCs w:val="0"/>
              </w:rPr>
              <w:lastRenderedPageBreak/>
              <w:t>formulan las unidades de organización en las materias de su competencia, conforme a los literales c) y d) del artículo 454 del ROF.</w:t>
            </w:r>
          </w:p>
          <w:p w14:paraId="5DDAAD49"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Cuando la materia tenga incidencia tributaria, coordina con la Intendencia Nacional Jurídico Tributaria, conforme al literal c) del citado artículo.</w:t>
            </w:r>
          </w:p>
          <w:p w14:paraId="2936B604"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La Comisión de Gobierno de IA la convoca conforme a los numerales 6.4.2, 6.7.8 y 6.8.3.</w:t>
            </w:r>
          </w:p>
          <w:p w14:paraId="32F191E5"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La Gerencia de Arquitectura solicita su opinión conforme al numeral 6.5.8.</w:t>
            </w:r>
          </w:p>
        </w:tc>
      </w:tr>
    </w:tbl>
    <w:p w14:paraId="600F7985" w14:textId="77777777" w:rsidR="005D662A" w:rsidRPr="005D662A" w:rsidRDefault="005D662A" w:rsidP="005D662A"/>
    <w:p w14:paraId="654C405E" w14:textId="77777777" w:rsidR="005D662A" w:rsidRDefault="005D662A" w:rsidP="005D662A"/>
    <w:p w14:paraId="0959FA27" w14:textId="77777777" w:rsidR="005D662A" w:rsidRDefault="005D662A" w:rsidP="005D662A"/>
    <w:p w14:paraId="7CD25393" w14:textId="77777777" w:rsidR="005D662A" w:rsidRPr="005D662A" w:rsidRDefault="005D662A" w:rsidP="005D662A"/>
    <w:p w14:paraId="7F6A6C42" w14:textId="77777777" w:rsidR="005D662A" w:rsidRPr="005D662A" w:rsidRDefault="005D662A" w:rsidP="005D662A">
      <w:pPr>
        <w:pStyle w:val="Ttulo1"/>
        <w:numPr>
          <w:ilvl w:val="0"/>
          <w:numId w:val="0"/>
        </w:numPr>
        <w:spacing w:after="0" w:line="276" w:lineRule="auto"/>
        <w:ind w:left="709"/>
        <w:rPr>
          <w:rFonts w:cs="Arial"/>
          <w:szCs w:val="22"/>
        </w:rPr>
      </w:pPr>
    </w:p>
    <w:p w14:paraId="783690D6" w14:textId="072A5E25" w:rsidR="00863A18" w:rsidRPr="00923C59" w:rsidRDefault="003D4DEA" w:rsidP="00B23382">
      <w:pPr>
        <w:pStyle w:val="Ttulo1"/>
        <w:spacing w:line="276" w:lineRule="auto"/>
        <w:rPr>
          <w:rFonts w:cs="Arial"/>
          <w:szCs w:val="22"/>
        </w:rPr>
      </w:pPr>
      <w:r>
        <w:rPr>
          <w:rFonts w:cs="Arial"/>
          <w:bCs/>
          <w:color w:val="000000"/>
          <w:szCs w:val="22"/>
        </w:rPr>
        <w:t>DISPOSICIONES ESPECÍFICAS</w:t>
      </w:r>
      <w:bookmarkEnd w:id="6"/>
    </w:p>
    <w:p w14:paraId="605F58E0"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44E18262" w14:textId="77777777" w:rsidR="00863A18" w:rsidRPr="00923C59" w:rsidRDefault="00863A18" w:rsidP="00B23382">
      <w:pPr>
        <w:pStyle w:val="SubtituloDONI"/>
        <w:spacing w:line="276" w:lineRule="auto"/>
        <w:ind w:left="851"/>
      </w:pPr>
      <w:r>
        <w:t>6.1</w:t>
      </w:r>
      <w:r>
        <w:tab/>
        <w:t>Del ciclo de vida de los SBIA</w:t>
      </w:r>
    </w:p>
    <w:p w14:paraId="1A53D0DB" w14:textId="77777777"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r>
      <w:r>
        <w:rPr>
          <w:rFonts w:ascii="Arial" w:eastAsia="Arial" w:hAnsi="Arial" w:cs="Arial"/>
          <w:color w:val="000000"/>
          <w:highlight w:val="green"/>
        </w:rPr>
        <w:t>Todo SBIA en la SUNAT sigue un ciclo de vida gestionado, con las etapas y los hitos propios del componente de IA que se detallan a continuación. Este ciclo no sustituye ni duplica a los instrumentos institucionales que regulan la gestión de proyectos y el desarrollo de sistemas: se apoya en las conformidades que las unidades de organización competentes emiten conforme a ellos y añade únicamente lo que es propio de la 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6"/>
        <w:gridCol w:w="2431"/>
      </w:tblGrid>
      <w:tr w:rsidR="00E950CF" w:rsidRPr="00923C59" w14:paraId="67C088D0"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C802093" w14:textId="77777777" w:rsidR="00E950CF" w:rsidRPr="00923C59" w:rsidRDefault="00E950CF" w:rsidP="00B23382">
            <w:pPr>
              <w:spacing w:before="20" w:after="20" w:line="276" w:lineRule="auto"/>
              <w:rPr>
                <w:rFonts w:ascii="Arial" w:hAnsi="Arial" w:cs="Arial"/>
              </w:rPr>
            </w:pPr>
            <w:r>
              <w:rPr>
                <w:rFonts w:ascii="Arial" w:eastAsia="Arial" w:hAnsi="Arial" w:cs="Arial"/>
                <w:b/>
                <w:bCs/>
              </w:rPr>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A6E7806"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AFF691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36FEC1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29FCF659"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D93B0"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27B802"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CADBDF" w14:textId="77777777" w:rsidR="00E67A73" w:rsidRDefault="00000000">
            <w:pPr>
              <w:spacing w:before="20" w:after="20" w:line="276" w:lineRule="auto"/>
              <w:rPr>
                <w:rFonts w:ascii="Arial" w:hAnsi="Arial" w:cs="Arial"/>
              </w:rPr>
            </w:pPr>
            <w:r>
              <w:rPr>
                <w:rFonts w:ascii="Arial" w:hAnsi="Arial" w:cs="Arial"/>
                <w:color w:val="000000"/>
                <w:highlight w:val="cyan"/>
              </w:rPr>
              <w:t xml:space="preserve">El propietario del caso de uso formula el caso de uso: identifica la necesidad institucional, define el problema a resolver y el resultado esperado, y lo presenta a la Comisión de Gobierno de IA </w:t>
            </w:r>
            <w:r>
              <w:rPr>
                <w:rFonts w:ascii="Arial" w:hAnsi="Arial" w:cs="Arial"/>
                <w:color w:val="000000"/>
                <w:highlight w:val="cyan"/>
              </w:rPr>
              <w:lastRenderedPageBreak/>
              <w:t>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1EE3A"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lastRenderedPageBreak/>
              <w:t xml:space="preserve">La etapa concluye con la presentación a la Comisión de Gobierno de IA de la Ficha de Evaluación de Caso de Uso. La Ficha se presenta suscrita por </w:t>
            </w:r>
            <w:r>
              <w:rPr>
                <w:rFonts w:ascii="Arial" w:eastAsia="Arial" w:hAnsi="Arial" w:cs="Arial"/>
                <w:highlight w:val="green"/>
              </w:rPr>
              <w:lastRenderedPageBreak/>
              <w:t>el propietario del caso de uso y con el visto bueno del titular de su unidad de organización, conforme a la Sección 6 del Anexo N.° 4. La etapa no comporta hito de aprobación: la evaluación del componente de IA y la aprobación corresponden a la etapa 2.</w:t>
            </w:r>
          </w:p>
        </w:tc>
      </w:tr>
      <w:tr w:rsidR="00E950CF" w:rsidRPr="00923C59" w14:paraId="704C0EE7"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836E8D"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F63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D71B90" w14:textId="77777777" w:rsidR="00E67A73" w:rsidRPr="00DE4308" w:rsidRDefault="0054144C" w:rsidP="00DE4308">
            <w:pPr>
              <w:spacing w:before="20" w:after="20" w:line="276" w:lineRule="auto"/>
              <w:rPr>
                <w:rFonts w:ascii="Arial" w:hAnsi="Arial" w:cs="Arial"/>
                <w:highlight w:val="green"/>
              </w:rPr>
            </w:pPr>
            <w:r>
              <w:rPr>
                <w:rFonts w:ascii="Arial" w:eastAsia="Arial" w:hAnsi="Arial" w:cs="Arial"/>
                <w:highlight w:val="green"/>
              </w:rPr>
              <w:t>La INSI valida, en el ámbito de sus competencias y conforme a los instrumentos de gestión aplicables, que la solución propuesta requiere un componente basado en IA y que es técnicamente viable. Con dicha validación como insumo, la Comisión de Gobierno de IA evalúa la pertinencia del uso de IA y los aspectos legales, éticos y operativos del componente, y propone la clasificación de riesgo del SBIA, conforme al numeral 6.2. La opinión de la Comisión no reitera la validación de la INSI ni la sustituye.</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492CE4"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Aprobación del caso de uso y de su clasificación de riesgo por el CGTD, en un solo acto y conforme a los numerales 6.1.2 y 6.2.2. En los SBIA de riesgo aceptable, el CGTD puede adoptar esa aprobación de manera agregada, conforme al numeral 6.2.2.</w:t>
            </w:r>
          </w:p>
        </w:tc>
      </w:tr>
      <w:tr w:rsidR="00E950CF" w:rsidRPr="00923C59" w14:paraId="4942F71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E4994C"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D9C94F"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0CA73A" w14:textId="77777777" w:rsidR="00E67A73" w:rsidRDefault="0045319E">
            <w:pPr>
              <w:spacing w:before="20" w:after="20" w:line="276" w:lineRule="auto"/>
              <w:rPr>
                <w:rFonts w:ascii="Arial" w:hAnsi="Arial" w:cs="Arial"/>
              </w:rPr>
            </w:pPr>
            <w:r>
              <w:rPr>
                <w:rFonts w:ascii="Arial" w:eastAsia="Arial" w:hAnsi="Arial" w:cs="Arial"/>
                <w:highlight w:val="green"/>
              </w:rPr>
              <w:t>La Gerencia de Arquitectura conduce el diseño de la arquitectura del SBIA y las Divisiones de Arquitectura lo elaboran, conforme al numeral 6.5.1.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783982" w14:textId="77777777" w:rsidR="00E67A73" w:rsidRDefault="0045319E">
            <w:pPr>
              <w:spacing w:before="20" w:after="20" w:line="276" w:lineRule="auto"/>
              <w:rPr>
                <w:rFonts w:ascii="Arial" w:hAnsi="Arial" w:cs="Arial"/>
              </w:rPr>
            </w:pPr>
            <w:r>
              <w:rPr>
                <w:rFonts w:ascii="Arial" w:eastAsia="Arial" w:hAnsi="Arial" w:cs="Arial"/>
                <w:highlight w:val="green"/>
              </w:rPr>
              <w:t xml:space="preserve">Aprobación del diseño de la arquitectura de solución por la División de Arquitectura competente según la materia, conforme al numeral 6.5.4. Para SBIA de riesgo alto, aprobación de la EIA por el CGTD, previa al inicio del desarrollo, </w:t>
            </w:r>
            <w:r>
              <w:rPr>
                <w:rFonts w:ascii="Arial" w:eastAsia="Arial" w:hAnsi="Arial" w:cs="Arial"/>
                <w:highlight w:val="green"/>
              </w:rPr>
              <w:lastRenderedPageBreak/>
              <w:t>adquisición o implementación.</w:t>
            </w:r>
          </w:p>
        </w:tc>
      </w:tr>
      <w:tr w:rsidR="00E950CF" w:rsidRPr="00923C59" w14:paraId="074EA391"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0EC092"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FE5AE2"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172A1" w14:textId="77777777" w:rsidR="00E67A73" w:rsidRDefault="00236A5F">
            <w:pPr>
              <w:spacing w:before="20" w:after="20" w:line="276" w:lineRule="auto"/>
              <w:rPr>
                <w:rFonts w:ascii="Arial" w:hAnsi="Arial" w:cs="Arial"/>
              </w:rPr>
            </w:pPr>
            <w:r>
              <w:rPr>
                <w:rFonts w:ascii="Arial" w:eastAsia="Arial" w:hAnsi="Arial" w:cs="Arial"/>
                <w:highlight w:val="green"/>
              </w:rPr>
              <w:t>Las gerencias competentes de la INSI ejecutan el desarrollo del SBIA o gestionan su adquisición. La Oficina de Seguridad Informática evalúa y propone los requisitos de seguridad del SBIA, conforme al literal e) del artículo 106 del ROF; dichos requisitos se incorporan como requisitos no funcionales y su implementación se verifica en la etapa de certificación y validación. El mecanismo de supervisión humana definido en la etapa de diseño se implementa en esta etapa conforme al numeral 6.6.2, y es distinto de los requisitos de seguridad antes señalados; su definición corresponde al propietario del caso de uso</w:t>
            </w:r>
            <w:r>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C78539"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6E1F67D4"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5AC91"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1A2E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64F6C0"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5AD162" w14:textId="77777777" w:rsidR="00E67A73" w:rsidRPr="00FA4DEA" w:rsidRDefault="00FA4DEA">
            <w:pPr>
              <w:spacing w:before="20" w:after="20" w:line="276" w:lineRule="auto"/>
              <w:rPr>
                <w:rFonts w:ascii="Arial" w:hAnsi="Arial" w:cs="Arial"/>
                <w:highlight w:val="green"/>
              </w:rPr>
            </w:pPr>
            <w:r>
              <w:rPr>
                <w:rFonts w:ascii="Arial" w:hAnsi="Arial" w:cs="Arial"/>
                <w:highlight w:val="green"/>
              </w:rPr>
              <w:t xml:space="preserve">La Gerencia de Calidad de Sistemas conduce el control y aseguramiento de la calidad y la División de Control de Calidad efectúa la verificación y validación de la calidad, conforme al numeral 6.10.3. La Oficina de Seguridad Informática efectúa el análisis de riesgo y las pruebas de vulnerabilidad sobre la arquitectura de aplicaciones, de información y de infraestructura tecnológica que </w:t>
            </w:r>
            <w:r>
              <w:rPr>
                <w:rFonts w:ascii="Arial" w:hAnsi="Arial" w:cs="Arial"/>
                <w:highlight w:val="green"/>
              </w:rPr>
              <w:lastRenderedPageBreak/>
              <w:t>soporta el SBIA, incluido el red teaming para riesgo alto, y verifica la implementación de los requisitos de seguridad propuestos en la etapa anterior. El propietario del caso de uso verifica la implementación del mecanismo de supervisión humana conforme al numeral 6.6.2. La Comisión de Gobierno de IA verifica la implementación de los controles, del mecanismo de supervisión humana y de las medidas frente al sesgo, así como los resultados de las pruebas de sesgo, conforme a los numerales 6.2.5, 6.6.2 y 6.6.4. Asimismo, aprueba el plan de monitoreo del SBIA conforme al numeral 6.10.1. La aprobación requiere la conformidad de la División de Control de Calidad, de la Oficina de Seguridad Informática, del propietario del caso de uso y de la Comisión de Gobierno de IA. La titularidad de la aprobación se determina conforme al numeral 6.1.2.</w:t>
            </w:r>
          </w:p>
        </w:tc>
      </w:tr>
      <w:tr w:rsidR="00E950CF" w:rsidRPr="00923C59" w14:paraId="7AACF123"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DF17F1"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64FFF"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579C23"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DD4E4" w14:textId="77777777" w:rsidR="0018147B" w:rsidRPr="00FA4DEA" w:rsidRDefault="00FA4DEA">
            <w:pPr>
              <w:spacing w:before="20" w:after="20" w:line="276" w:lineRule="auto"/>
              <w:rPr>
                <w:rFonts w:ascii="Arial" w:hAnsi="Arial" w:cs="Arial"/>
                <w:highlight w:val="green"/>
              </w:rPr>
            </w:pPr>
            <w:r>
              <w:rPr>
                <w:rFonts w:ascii="Arial" w:eastAsia="Arial" w:hAnsi="Arial" w:cs="Arial"/>
                <w:highlight w:val="green"/>
              </w:rPr>
              <w:t>Aprobación de la puesta en producción por la División de Control de Calidad, conforme al literal c) del artículo 126 del ROF.</w:t>
            </w:r>
          </w:p>
        </w:tc>
      </w:tr>
      <w:tr w:rsidR="00E950CF" w:rsidRPr="00923C59" w14:paraId="03BC3E70"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BC266"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4DB87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AA9F46"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AD0597"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308F5E4D"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B3F439"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AD2EF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F0522F"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DD0C8"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07217B0E" w14:textId="77777777" w:rsidR="00E950CF" w:rsidRPr="00923C59" w:rsidRDefault="00E950CF" w:rsidP="00B23382">
      <w:pPr>
        <w:spacing w:after="60" w:line="276" w:lineRule="auto"/>
        <w:jc w:val="both"/>
        <w:rPr>
          <w:rFonts w:ascii="Arial" w:eastAsia="Arial" w:hAnsi="Arial" w:cs="Arial"/>
          <w:color w:val="000000"/>
        </w:rPr>
      </w:pPr>
    </w:p>
    <w:p w14:paraId="2A7A7BB7" w14:textId="77777777" w:rsidR="00E67A73" w:rsidRDefault="00000000" w:rsidP="00D443F8">
      <w:pPr>
        <w:spacing w:after="60" w:line="276" w:lineRule="auto"/>
        <w:ind w:left="1276" w:hanging="720"/>
        <w:jc w:val="both"/>
        <w:rPr>
          <w:rFonts w:ascii="Arial" w:eastAsia="Arial" w:hAnsi="Arial" w:cs="Arial"/>
          <w:color w:val="000000"/>
        </w:rPr>
      </w:pPr>
      <w:r>
        <w:rPr>
          <w:rFonts w:ascii="Arial" w:hAnsi="Arial" w:cs="Arial"/>
          <w:color w:val="000000"/>
          <w:highlight w:val="green"/>
        </w:rPr>
        <w:t>6.1.2</w:t>
      </w:r>
      <w:r>
        <w:rPr>
          <w:rFonts w:ascii="Arial" w:hAnsi="Arial" w:cs="Arial"/>
          <w:color w:val="000000"/>
          <w:highlight w:val="green"/>
        </w:rPr>
        <w:tab/>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w:t>
      </w:r>
      <w:r>
        <w:t xml:space="preserve"> </w:t>
      </w:r>
      <w:r>
        <w:rPr>
          <w:rFonts w:ascii="Arial" w:hAnsi="Arial" w:cs="Arial"/>
          <w:color w:val="000000"/>
          <w:highlight w:val="green"/>
        </w:rPr>
        <w:t>Esta regla no alcanza a la aprobación del caso de uso y de su clasificación de riesgo, prevista en la etapa 2 del numeral 6.1.1, que corresponde al CGTD en todos los casos conforme al numeral 6.2.2. La Comisión informa al CGTD de las aprobaciones que otorga. En los SBIA de riesgo alto, todas las etapas e hitos son obligatorios. En los SBIA de riesgo aceptable, la Comisión de Gobierno de IA puede aprobar un ciclo de vida simplificado y documentado, proporcional a la naturaleza y a la magnitud del SBIA.</w:t>
      </w:r>
    </w:p>
    <w:p w14:paraId="37E8D4BA"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r>
      <w:r>
        <w:rPr>
          <w:rFonts w:ascii="Arial" w:eastAsia="Arial" w:hAnsi="Arial" w:cs="Arial"/>
          <w:color w:val="000000"/>
          <w:highlight w:val="yellow"/>
        </w:rPr>
        <w:tab/>
      </w:r>
      <w:r>
        <w:rPr>
          <w:rFonts w:ascii="Arial" w:eastAsia="Arial" w:hAnsi="Arial" w:cs="Arial"/>
          <w:color w:val="000000"/>
          <w:highlight w:val="green"/>
        </w:rPr>
        <w:t>Los SBIA SaaS (enfoque A) siguen un ciclo de vida abreviado, que comprende cuando menos: el registro en el Inventario Institucional de SBIA, la clasificación de riesgo conforme al numeral 6.2 y las verificaciones previstas en el numeral 6.12.3.</w:t>
      </w:r>
      <w:r>
        <w:t xml:space="preserve"> </w:t>
      </w:r>
      <w:r>
        <w:rPr>
          <w:rFonts w:ascii="Arial" w:eastAsia="Arial" w:hAnsi="Arial" w:cs="Arial"/>
          <w:color w:val="000000"/>
          <w:highlight w:val="green"/>
        </w:rPr>
        <w:t>La abreviación alcanza a las etapas del ciclo de vida y no a las obligaciones que la presente directiva impone a todo SBIA conforme a su clasificación de riesgo. Este ciclo abreviado se distingue del ciclo de vida simplificado del numeral 6.1.2, que la Comisión de Gobierno de IA puede aprobar para los SBIA de riesgo aceptable cualquiera sea su enfoque. El alcance de las etapas del ciclo abreviado se desarrolla en la metodología prevista en el numeral 6.1.5.</w:t>
      </w:r>
    </w:p>
    <w:p w14:paraId="7A35B4B7" w14:textId="77777777" w:rsidR="00D443F8" w:rsidRDefault="00000000" w:rsidP="00A84BB6">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lastRenderedPageBreak/>
        <w:t>6.1.4</w:t>
      </w:r>
      <w:r>
        <w:rPr>
          <w:rFonts w:ascii="Arial" w:eastAsia="Arial" w:hAnsi="Arial" w:cs="Arial"/>
          <w:color w:val="000000"/>
          <w:highlight w:val="green"/>
        </w:rPr>
        <w:tab/>
        <w:t>El pronunciamiento de la Comisión de Gobierno de IA en los hitos del ciclo de vida recae sobre el componente de IA, conforme al numeral 6.15.1. Cuando la Ficha de Evaluación de Caso de Uso (Anexo N.° 4) no contiene la información necesaria para pronunciarse, la Comisión acompaña al propietario del caso de uso a completarla y se pronuncia una vez que la recibe. La falta de información no es causal de pronunciamiento no favorable. La Comisión otorga al propietario del caso de uso un plazo para completarla. Vencido el plazo sin que la información se complete, la Comisión eleva el caso al CGTD para que disponga lo que corresponda. El pronunciamiento no favorable se fundamenta por escrito y se eleva al CGTD. Cuando invoca el uso indebido o una contravención normativa, el CGTD verifica la causal y, si concurre, deja constancia en acta de que el caso de uso no procede. Cuando invoca que el resultado esperado se alcanza sin inteligencia artificial, el CGTD resuelve en acta si el caso de uso continúa con el componente de IA o sin él.</w:t>
      </w:r>
    </w:p>
    <w:p w14:paraId="7962C5D1" w14:textId="77777777" w:rsidR="00E67A73" w:rsidRDefault="00000000" w:rsidP="00D443F8">
      <w:pPr>
        <w:spacing w:after="60" w:line="276" w:lineRule="auto"/>
        <w:ind w:left="1276" w:hanging="720"/>
        <w:jc w:val="both"/>
        <w:rPr>
          <w:rFonts w:ascii="Arial" w:hAnsi="Arial" w:cs="Arial"/>
          <w:color w:val="000000"/>
        </w:rPr>
      </w:pPr>
      <w:r>
        <w:rPr>
          <w:rFonts w:ascii="Arial" w:hAnsi="Arial" w:cs="Arial"/>
          <w:color w:val="000000"/>
          <w:highlight w:val="lightGray"/>
        </w:rPr>
        <w:t>6.1.5</w:t>
      </w:r>
      <w:r>
        <w:rPr>
          <w:rFonts w:ascii="Arial" w:hAnsi="Arial" w:cs="Arial"/>
          <w:color w:val="000000"/>
          <w:highlight w:val="lightGray"/>
        </w:rPr>
        <w:tab/>
        <w:t xml:space="preserve">La INSI desarrolla y aprueba, conforme a sus competencias, a la METDONI y al numeral 7.6, la metodología del ciclo de vida del SBIA previsto en el numeral 6.1.1. </w:t>
      </w:r>
      <w:r>
        <w:rPr>
          <w:rFonts w:ascii="Arial" w:hAnsi="Arial" w:cs="Arial"/>
          <w:color w:val="000000"/>
          <w:highlight w:val="green"/>
        </w:rPr>
        <w:t xml:space="preserve">Por comprender actuaciones a cargo de unidades de organización distintas de la INSI, su formulación recoge los aportes de dichas unidades y de la Comisión de Gobierno de IA, que la INSI solicita. El proyecto se somete a la validación de la Comisión de Gobierno de IA. Ambas actuaciones se efectúan conforme a la presente directiva y observan lo previsto en los numerales 6.4 y 6.5 de la METDONI. La aprobación corresponde a la INSI conforme al literal j) del artículo 102 del ROF; cuando la Comisión de Gobierno de IA mantenga observaciones no acogidas, estas se elevan al CGTD, que se pronuncia con anterioridad a la aprobación. </w:t>
      </w:r>
      <w:r>
        <w:rPr>
          <w:rFonts w:ascii="Arial" w:hAnsi="Arial" w:cs="Arial"/>
          <w:color w:val="000000"/>
          <w:highlight w:val="lightGray"/>
        </w:rPr>
        <w:t>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los controles de contención, las prácticas de monitoreo, la gestión de los cambios sobre los SBIA en operación, incluidos los criterios de calificación del cambio significativo y el alcance de la revalidación aplicable,</w:t>
      </w:r>
      <w:r>
        <w:t xml:space="preserve"> </w:t>
      </w:r>
      <w:r>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5D4BCE26" w14:textId="77777777" w:rsidR="00F4172E" w:rsidRDefault="00F4172E" w:rsidP="00D443F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6.1.6</w:t>
      </w:r>
      <w:r>
        <w:rPr>
          <w:rFonts w:ascii="Arial" w:eastAsia="Arial" w:hAnsi="Arial" w:cs="Arial"/>
          <w:color w:val="000000"/>
          <w:highlight w:val="green"/>
        </w:rPr>
        <w:tab/>
        <w:t>Todo SBIA cuenta con un equipo técnico multidisciplinario, conformado en función de la necesidad y la complejidad de la materia o del problema público que atiende, conforme al numeral 28.3 del artículo 28 del RLIA. El propietario del caso de uso y el custodio técnico lo conforman previamente al inicio del desarrollo o adquisición, y lo integran, cuando menos, con las unidades de organización cuya competencia comprenda las materias que el SBIA involucra. Su composición se registra en la Ficha de Registro de SBIA (Anexo N.° 1).</w:t>
      </w:r>
    </w:p>
    <w:p w14:paraId="40305EF2" w14:textId="77777777" w:rsidR="00863A18" w:rsidRPr="00923C59" w:rsidRDefault="00863A18" w:rsidP="00B23382">
      <w:pPr>
        <w:pStyle w:val="SubtituloDONI"/>
        <w:spacing w:line="276" w:lineRule="auto"/>
        <w:ind w:left="851"/>
      </w:pPr>
      <w:r>
        <w:t>6.2</w:t>
      </w:r>
      <w:r>
        <w:tab/>
        <w:t>De la clasificación de los SBIA por nivel de riesgo</w:t>
      </w:r>
    </w:p>
    <w:p w14:paraId="1AB74D46" w14:textId="77777777" w:rsidR="00CA74AD" w:rsidRDefault="00000000">
      <w:pPr>
        <w:spacing w:after="60" w:line="276" w:lineRule="auto"/>
        <w:ind w:left="1276" w:hanging="720"/>
        <w:jc w:val="both"/>
        <w:rPr>
          <w:rFonts w:ascii="Arial" w:hAnsi="Arial" w:cs="Arial"/>
          <w:color w:val="000000"/>
        </w:rPr>
      </w:pPr>
      <w:r>
        <w:rPr>
          <w:rFonts w:ascii="Arial" w:hAnsi="Arial" w:cs="Arial"/>
          <w:color w:val="000000"/>
          <w:highlight w:val="cyan"/>
        </w:rPr>
        <w:t>6.2.1</w:t>
      </w:r>
      <w:r>
        <w:rPr>
          <w:rFonts w:ascii="Arial" w:hAnsi="Arial" w:cs="Arial"/>
          <w:color w:val="000000"/>
          <w:highlight w:val="cyan"/>
        </w:rPr>
        <w:tab/>
        <w:t xml:space="preserve">La clasificación de riesgo determina, para cada iniciativa o SBIA de la SUNAT, la categoría de riesgo que genera su uso conforme al RLIA: uso indebido </w:t>
      </w:r>
      <w:r>
        <w:rPr>
          <w:rFonts w:ascii="Arial" w:hAnsi="Arial" w:cs="Arial"/>
          <w:color w:val="000000"/>
          <w:highlight w:val="cyan"/>
        </w:rPr>
        <w:lastRenderedPageBreak/>
        <w:t xml:space="preserve">(artículo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w:t>
      </w:r>
      <w:r>
        <w:rPr>
          <w:rFonts w:ascii="Arial" w:hAnsi="Arial" w:cs="Arial"/>
          <w:color w:val="000000"/>
          <w:highlight w:val="green"/>
        </w:rPr>
        <w:t>La clasificación de riesgo de un SBIA se efectúa por subsunción en los supuestos de los artículos 22 a 24 del RLIA. La gestión de los riesgos asociados se alinea a la NTP-ISO 31000 vigente, de uso obligatorio conforme a la Sexta Disposición Complementaria Final del RLIA.</w:t>
      </w:r>
    </w:p>
    <w:p w14:paraId="051C245D"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6.2.2</w:t>
      </w:r>
      <w:r>
        <w:rPr>
          <w:rFonts w:ascii="Arial" w:eastAsia="Arial" w:hAnsi="Arial" w:cs="Arial"/>
          <w:color w:val="000000"/>
          <w:highlight w:val="green"/>
        </w:rPr>
        <w:tab/>
      </w:r>
      <w:r>
        <w:rPr>
          <w:rFonts w:ascii="Arial" w:eastAsia="Arial" w:hAnsi="Arial" w:cs="Arial"/>
          <w:highlight w:val="green"/>
        </w:rPr>
        <w:t>Para la aplicación de la clasificación establecida, la Comisión de Gobierno de IA propone la clasificación de riesgo de las iniciativas que se presentan. La opinión de la OII, en materia de ética, integridad y prevención de sesgos, y la de la INALI, en materia de cumplimiento normativo, constan de manera expresa en la propuesta. La aprobación de la clasificación de riesgo corresponde al CGTD en todos los casos. En los SBIA de riesgo alto y en los estratégicos para la entidad, el CGTD aprueba la clasificación mediante pronunciamiento individual. En los SBIA de riesgo aceptable, el CGTD aprueba la clasificación de manera agregada, sobre la relación que la Comisión de Gobierno de IA eleva a cada sesión ordinaria, sin perjuicio de que cualquiera de sus miembros solicite el tratamiento individual de una iniciativa determinada. En tanto el CGTD no apruebe la clasificación agregada, la propuesta de la Comisión de Gobierno de IA habilita la continuación del ciclo de vida, salvo el despliegue, que requiere la clasificación aprobada. Durante ese periodo, las disposiciones que exigen el nivel de riesgo se aplican sobre la clasificación propuesta. Si el CGTD modifica la clasificación al aprobarla, el propietario del caso de uso y el custodio técnico ajustan los requisitos, los controles y el mecanismo de supervisión humana antes del despliegue. La clasificación es parte de la evaluación de viabilidad de acuerdo al ciclo de vida descrito en el numeral 6.1.1. La clasificación aplica los criterios complementarios de la Matriz de Clasificación de Riesgos de IA (Anexo N.° 2); el detalle de su aplicación se desarrolla en la metodología prevista en el numeral 6.1.5.</w:t>
      </w:r>
    </w:p>
    <w:p w14:paraId="23ABC48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0F9F2020" w14:textId="77777777"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Pr>
          <w:rFonts w:ascii="Arial" w:eastAsia="Arial" w:hAnsi="Arial" w:cs="Arial"/>
          <w:color w:val="000000"/>
          <w:highlight w:val="green"/>
        </w:rPr>
        <w:t>La prohibición del uso indebido se asegura mediante la clasificación de riesgo previa y obligatoria, el pronunciamiento no favorable de la Comisión de Gobierno de IA conforme al numeral 6.15.1 y el registro obligatorio en el Inventario Institucional de SBIA.</w:t>
      </w:r>
      <w:r>
        <w:rPr>
          <w:rFonts w:ascii="Arial" w:eastAsia="Arial" w:hAnsi="Arial" w:cs="Arial"/>
          <w:color w:val="000000"/>
        </w:rPr>
        <w:t xml:space="preserve"> </w:t>
      </w:r>
      <w:r>
        <w:rPr>
          <w:rFonts w:ascii="Arial" w:eastAsia="Arial" w:hAnsi="Arial" w:cs="Arial"/>
          <w:color w:val="000000"/>
          <w:highlight w:val="cyan"/>
        </w:rPr>
        <w:t xml:space="preserve">Ante la duda sobre si un SBIA constituye uso </w:t>
      </w:r>
      <w:r>
        <w:rPr>
          <w:rFonts w:ascii="Arial" w:eastAsia="Arial" w:hAnsi="Arial" w:cs="Arial"/>
          <w:color w:val="000000"/>
          <w:highlight w:val="cyan"/>
        </w:rPr>
        <w:lastRenderedPageBreak/>
        <w:t>indebido, la SUNAT puede formular a la SGTD la consulta prevista en el artículo 23 del RLIA.</w:t>
      </w:r>
    </w:p>
    <w:p w14:paraId="66A01E20" w14:textId="77777777"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6.2.5</w:t>
      </w:r>
      <w:r>
        <w:rPr>
          <w:rFonts w:ascii="Arial" w:eastAsia="Arial" w:hAnsi="Arial" w:cs="Arial"/>
          <w:color w:val="000000"/>
          <w:highlight w:val="green"/>
        </w:rPr>
        <w:tab/>
        <w:t>Los controles aplicables a un SBIA se determinan a partir de su clasificación de riesgo y de los criterios que la presente directiva establece según la naturaleza del SBIA, en particular en los numerales 6.5, 6.6, 6.7, 6.9 y 6.10. Los controles no se proponen ni se negocian. El propietario del caso de uso, con la asistencia técnica de la Comisión de Gobierno de IA, define cómo se implementan en el SBIA. La Comisión de Gobierno de IA verifica su implementación en la etapa 5 del numeral 6.1.1, con anterioridad al despliegue.</w:t>
      </w:r>
    </w:p>
    <w:p w14:paraId="27B09BCD" w14:textId="77777777"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6.2.6</w:t>
      </w:r>
      <w:r>
        <w:rPr>
          <w:rFonts w:ascii="Arial" w:eastAsia="Arial" w:hAnsi="Arial" w:cs="Arial"/>
          <w:color w:val="000000"/>
          <w:highlight w:val="green"/>
        </w:rPr>
        <w:tab/>
        <w:t>Cuando se determine que un SBIA en operación corresponde a la categoría de uso indebido, el propietario del caso de uso dispone su suspensión inmediata y comunica el hecho a la Comisión de Gobierno de IA. La Comisión eleva el caso al CGTD, que verifica la causal conforme al numeral 6.1.4 y deja constancia en acta. Verificada la causal, el SBIA se retira conforme a la etapa 8 del numeral 6.1.1. La suspensión, su fecha y el acuerdo del CGTD constan en el Inventario Institucional de SBIA.</w:t>
      </w:r>
    </w:p>
    <w:p w14:paraId="3D55C9B6" w14:textId="77777777" w:rsidR="00863A18" w:rsidRPr="00923C59" w:rsidRDefault="00863A18" w:rsidP="00B23382">
      <w:pPr>
        <w:pStyle w:val="SubtituloDONI"/>
        <w:spacing w:line="276" w:lineRule="auto"/>
        <w:ind w:left="851"/>
      </w:pPr>
      <w:r>
        <w:t>6.3</w:t>
      </w:r>
      <w:r>
        <w:tab/>
        <w:t>Del Inventario Institucional de SBIA</w:t>
      </w:r>
    </w:p>
    <w:p w14:paraId="1F281479"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5FA63920"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06EA724C" w14:textId="77777777" w:rsidR="00863A18" w:rsidRPr="00923C59" w:rsidRDefault="00863A18" w:rsidP="00B23382">
      <w:pPr>
        <w:pStyle w:val="SubtituloDONI"/>
        <w:spacing w:line="276" w:lineRule="auto"/>
        <w:ind w:left="851"/>
      </w:pPr>
      <w:r>
        <w:t>6.4</w:t>
      </w:r>
      <w:r>
        <w:tab/>
        <w:t>De la evaluación de impacto algorítmico</w:t>
      </w:r>
    </w:p>
    <w:p w14:paraId="6B2F6FC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6.4.1</w:t>
      </w:r>
      <w:r>
        <w:rPr>
          <w:rFonts w:ascii="Arial" w:eastAsia="Arial" w:hAnsi="Arial" w:cs="Arial"/>
          <w:color w:val="000000"/>
          <w:highlight w:val="green"/>
        </w:rPr>
        <w:tab/>
        <w:t xml:space="preserve">Todo SBIA de riesgo alto debe contar con una EIA aprobada por el CGTD previamente al inicio de su desarrollo, adquisición o implementación, conforme al artículo 30 del RLIA.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15DFF88B"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green"/>
        </w:rPr>
        <w:t>6.4.2</w:t>
      </w:r>
      <w:r>
        <w:rPr>
          <w:rFonts w:ascii="Arial" w:hAnsi="Arial" w:cs="Arial"/>
          <w:color w:val="000000"/>
          <w:highlight w:val="green"/>
        </w:rPr>
        <w:tab/>
        <w:t>El propietario del caso de uso elabora la EIA con la participación del equipo técnico multidisciplinario del SBIA previsto en el numeral 6.1.6. La EIA incorpora los aspectos de negocio (en particular el impacto en el administrado) y los aspectos técnicos. La Comisión de Gobierno de IA, la OII, la INALI y el OGD la revisan. Cuando la materia comprenda el sentido y el alcance de las normas tributarias o aduaneras, la Comisión de Gobierno de IA convoca a la Intendencia Nacional Jurídico Tributaria o a la Intendencia Nacional Jurídico Aduanera. Concluidas las revisiones, la Comisión de Gobierno de IA eleva la EIA al CGTD para su aprobación conforme al numeral 6.4.1.</w:t>
      </w:r>
    </w:p>
    <w:p w14:paraId="4C4E987B" w14:textId="77777777" w:rsidR="007F16B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6.4.3</w:t>
      </w:r>
      <w:r>
        <w:rPr>
          <w:rFonts w:ascii="Arial" w:eastAsia="Arial" w:hAnsi="Arial" w:cs="Arial"/>
          <w:color w:val="000000"/>
          <w:highlight w:val="green"/>
        </w:rPr>
        <w:tab/>
        <w:t>La Comisión de Gobierno de IA coordina la actualización de la EIA cuando se produzca un cambio significativo conforme al numeral 6.10.5. La EIA actualizada se revisa y se aprueba conforme al numeral 6.4.2, y su aprobación corresponde al CGTD conforme al numeral 6.4.1.</w:t>
      </w:r>
    </w:p>
    <w:p w14:paraId="7E3C720F"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lastRenderedPageBreak/>
        <w:t>6.4.4</w:t>
      </w:r>
      <w:r>
        <w:rPr>
          <w:rFonts w:ascii="Arial" w:eastAsia="Arial" w:hAnsi="Arial" w:cs="Arial"/>
          <w:color w:val="000000"/>
          <w:highlight w:val="yellow"/>
        </w:rPr>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1"/>
      </w:r>
      <w:r>
        <w:rPr>
          <w:rFonts w:ascii="Arial" w:eastAsia="Arial" w:hAnsi="Arial" w:cs="Arial"/>
          <w:color w:val="000000"/>
          <w:highlight w:val="yellow"/>
        </w:rPr>
        <w:t>.</w:t>
      </w:r>
    </w:p>
    <w:p w14:paraId="294D8524" w14:textId="77777777" w:rsidR="00D528BB" w:rsidRDefault="00D528BB">
      <w:pPr>
        <w:spacing w:before="160" w:after="60" w:line="276" w:lineRule="auto"/>
        <w:rPr>
          <w:rFonts w:ascii="Arial" w:hAnsi="Arial" w:cs="Arial"/>
          <w:b/>
          <w:bCs/>
          <w:color w:val="1B3A5B"/>
          <w:sz w:val="24"/>
          <w:szCs w:val="24"/>
          <w:highlight w:val="cyan"/>
        </w:rPr>
      </w:pPr>
    </w:p>
    <w:p w14:paraId="6FF09F4F" w14:textId="46D9B6FB"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D1C8F42" w14:textId="77777777" w:rsidR="00E67A73" w:rsidRDefault="00000000">
      <w:pPr>
        <w:pStyle w:val="SubtituloDONI"/>
        <w:spacing w:line="276" w:lineRule="auto"/>
        <w:ind w:left="851"/>
      </w:pPr>
      <w:r>
        <w:rPr>
          <w:highlight w:val="yellow"/>
        </w:rPr>
        <w:t>6.5</w:t>
      </w:r>
      <w:r>
        <w:rPr>
          <w:highlight w:val="yellow"/>
        </w:rPr>
        <w:tab/>
        <w:t>De la arquitectura y el software de los SBIA</w:t>
      </w:r>
    </w:p>
    <w:p w14:paraId="4BB0D707"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6.5.1</w:t>
      </w:r>
      <w:r>
        <w:rPr>
          <w:rFonts w:ascii="Arial" w:eastAsia="Arial" w:hAnsi="Arial" w:cs="Arial"/>
          <w:color w:val="000000"/>
          <w:highlight w:val="green"/>
        </w:rPr>
        <w:tab/>
        <w:t>La Gerencia de Arquitectura conduce el diseño de la arquitectura de los SBIA, conforme al literal a) del artículo 130 del ROF. La División de Arquitectura de Información y de Aplicaciones diseña la arquitectura de información y de aplicaciones de los SBIA, conforme a los literales a) y c) del artículo 132 del ROF; la División de Arquitectura Tecnológica diseña la arquitectura de su infraestructura tecnológica, conforme a los literales a) y c) del artículo 134 del ROF. La arquitectura de los SBIA promueve soluciones modulares y escalables y el uso de estándares abiertos que eviten la dependencia tecnológica de un único proveedor.</w:t>
      </w:r>
    </w:p>
    <w:p w14:paraId="5A3611B7"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6.5.2</w:t>
      </w:r>
      <w:r>
        <w:rPr>
          <w:rFonts w:ascii="Arial" w:eastAsia="Arial" w:hAnsi="Arial" w:cs="Arial"/>
          <w:color w:val="000000"/>
          <w:highlight w:val="green"/>
        </w:rPr>
        <w:tab/>
        <w:t>El uso, la adquisición y la adecuación del software de los SBIA se sujetan a las disposiciones aplicables a las entidades de la Administración Pública, conforme al numeral 28.6 del artículo 28 del RLIA. Dichas disposiciones comprenden los estándares técnicos para la evaluación de software, los estándares técnicos sobre procesos del ciclo de vida del software y las evaluaciones del uso y aplicaciones del software de IA. Los estándares y documentos técnicos de arquitectura aplicables a los SBIA son los previstos en el numeral 6.5.3, y su cumplimiento se verifica en la aprobación del diseño de arquitectura de solución conforme al numeral 6.5.4.</w:t>
      </w:r>
    </w:p>
    <w:p w14:paraId="67528214" w14:textId="77777777" w:rsidR="00EE0817" w:rsidRDefault="00EE0817"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6.5.3</w:t>
      </w:r>
      <w:r>
        <w:rPr>
          <w:rFonts w:ascii="Arial" w:eastAsia="Arial" w:hAnsi="Arial" w:cs="Arial"/>
          <w:color w:val="000000"/>
          <w:highlight w:val="green"/>
        </w:rPr>
        <w:tab/>
        <w:t xml:space="preserve">El diseño de la arquitectura de los SBIA observa los Principios de Arquitectura de TI (AAT.PRAQ.01) y los Lineamientos de Arquitectura de TI (LAT.LIAQ.01) de la SUNAT, en sus versiones vigentes, en lo que corresponda a su naturaleza. La GA adecua dichos instrumentos y emite los estándares, modelos de referencia, patrones y demás documentos técnicos de arquitectura necesarios para incorporar los requisitos propios de los SBIA (modelos, conjuntos de datos, componentes generativos y </w:t>
      </w:r>
      <w:proofErr w:type="spellStart"/>
      <w:r>
        <w:rPr>
          <w:rFonts w:ascii="Arial" w:eastAsia="Arial" w:hAnsi="Arial" w:cs="Arial"/>
          <w:color w:val="000000"/>
          <w:highlight w:val="green"/>
        </w:rPr>
        <w:t>agénticos</w:t>
      </w:r>
      <w:proofErr w:type="spellEnd"/>
      <w:r>
        <w:rPr>
          <w:rFonts w:ascii="Arial" w:eastAsia="Arial" w:hAnsi="Arial" w:cs="Arial"/>
          <w:color w:val="000000"/>
          <w:highlight w:val="green"/>
        </w:rPr>
        <w:t>, e infraestructura especializada), en el ámbito de su competencia y conforme a los literales a) y c) del artículo 130 del ROF. Los que establezcan obligaciones exigibles a las unidades de organización se aprueban como documento normativo institucional conforme al numeral 7.6 de la presente directiva.</w:t>
      </w:r>
    </w:p>
    <w:p w14:paraId="635528FB" w14:textId="77777777" w:rsidR="005C3A70" w:rsidRDefault="005C3A70" w:rsidP="005C3A70">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green"/>
        </w:rPr>
        <w:t>6.5.4</w:t>
      </w:r>
      <w:r>
        <w:rPr>
          <w:rFonts w:ascii="Arial" w:eastAsia="Arial" w:hAnsi="Arial" w:cs="Arial"/>
          <w:color w:val="000000"/>
          <w:highlight w:val="green"/>
        </w:rPr>
        <w:tab/>
        <w:t xml:space="preserve">Todo SBIA cuenta con la aprobación del diseño de su arquitectura de solución, previa al inicio del desarrollo, la adquisición o el entrenamiento, conforme a la etapa 3 del numeral 6.1.1. Dicha aprobación corresponde a la División de </w:t>
      </w:r>
      <w:r>
        <w:rPr>
          <w:rFonts w:ascii="Arial" w:eastAsia="Arial" w:hAnsi="Arial" w:cs="Arial"/>
          <w:color w:val="000000"/>
          <w:highlight w:val="green"/>
        </w:rPr>
        <w:lastRenderedPageBreak/>
        <w:t xml:space="preserve">Arquitectura de Información y de Aplicaciones y a la División de Arquitectura Tecnológica, cada una en el ámbito de su competencia conforme al literal a) de los artículos 132 y 134 del ROF, bajo la conducción de la Gerencia de Arquitectura. </w:t>
      </w:r>
      <w:r>
        <w:rPr>
          <w:rFonts w:ascii="Arial" w:eastAsia="Arial" w:hAnsi="Arial" w:cs="Arial"/>
          <w:color w:val="000000"/>
          <w:highlight w:val="lightGray"/>
        </w:rPr>
        <w:t>Los requisitos derivados del nivel de riesgo, incluidos los mecanismos de supervisión humana, explicabilidad y trazabilidad, se incorporan como requisitos no funcionales de la solución. Cuando la clasificación no cuenta aún con aprobación del CGTD, dichos requisitos se derivan de la clasificación propuesta conforme al numeral 6.2.2.</w:t>
      </w:r>
    </w:p>
    <w:p w14:paraId="55121EB7" w14:textId="77777777" w:rsidR="003173B4" w:rsidRPr="003173B4" w:rsidRDefault="003173B4" w:rsidP="003173B4">
      <w:pPr>
        <w:spacing w:after="6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6.5.5</w:t>
      </w:r>
      <w:r>
        <w:rPr>
          <w:rFonts w:ascii="Arial" w:eastAsia="Arial" w:hAnsi="Arial" w:cs="Arial"/>
          <w:color w:val="000000"/>
          <w:highlight w:val="green"/>
        </w:rPr>
        <w:tab/>
        <w:t>Los SBIA que ejecuten acciones sobre sistemas, datos o procesos con algún grado de autonomía incorporan mecanismos de autorización, restricción y registro de dichas acciones. Dichos mecanismos son proporcionales al nivel de riesgo determinado conforme al numeral 6.2.2 y al grado de autonomía asignado. El propietario del caso de uso define el alcance de las acciones autorizadas; la División de Arquitectura de Información y de Aplicaciones aprueba el diseño de dichos mecanismos, conforme al literal a) del artículo 132 del ROF, y la División de Arquitectura Tecnológica valida los componentes de infraestructura tecnológica que los soportan, conforme al literal c) del artículo 134 del ROF, cada una en el ámbito de su competencia. Ambas validaciones se efectúan en la etapa 5 del numeral 6.1.1, con anterioridad al despliegue.</w:t>
      </w:r>
    </w:p>
    <w:p w14:paraId="33314426" w14:textId="77777777" w:rsidR="003173B4" w:rsidRPr="003173B4" w:rsidRDefault="003173B4" w:rsidP="003173B4">
      <w:pPr>
        <w:spacing w:after="60" w:line="276" w:lineRule="auto"/>
        <w:ind w:left="1276"/>
        <w:jc w:val="both"/>
        <w:rPr>
          <w:rFonts w:ascii="Arial" w:eastAsia="Arial" w:hAnsi="Arial" w:cs="Arial"/>
          <w:color w:val="000000"/>
          <w:highlight w:val="green"/>
        </w:rPr>
      </w:pPr>
      <w:r>
        <w:rPr>
          <w:rFonts w:ascii="Arial" w:eastAsia="Arial" w:hAnsi="Arial" w:cs="Arial"/>
          <w:color w:val="000000"/>
          <w:highlight w:val="green"/>
        </w:rPr>
        <w:t>El SBIA o el componente que ejecute las acciones a que se refiere el párrafo anterior cuenta con una identidad digital diferenciada. Su administración observa los controles de gestión de identidades y de control de acceso del Manual de Políticas del Sistema de Gestión de Seguridad de la Información (SGSI-MA-03).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04102E57" w14:textId="77777777" w:rsidR="003173B4" w:rsidRDefault="003173B4" w:rsidP="003173B4">
      <w:pPr>
        <w:spacing w:after="60" w:line="276" w:lineRule="auto"/>
        <w:ind w:left="1276"/>
        <w:jc w:val="both"/>
        <w:rPr>
          <w:rFonts w:ascii="Arial" w:eastAsia="Arial" w:hAnsi="Arial" w:cs="Arial"/>
          <w:color w:val="000000"/>
        </w:rPr>
      </w:pPr>
      <w:r>
        <w:rPr>
          <w:rFonts w:ascii="Arial" w:eastAsia="Arial" w:hAnsi="Arial" w:cs="Arial"/>
          <w:color w:val="000000"/>
          <w:highlight w:val="green"/>
        </w:rPr>
        <w:t>El componente de IA no modifica por sí mismo los controles de seguridad, las políticas institucionales ni los mecanismos de gobierno previstos en la presente directiva.</w:t>
      </w:r>
    </w:p>
    <w:p w14:paraId="7BCE6C7C" w14:textId="77777777" w:rsidR="005C3A70" w:rsidRPr="005C3A70" w:rsidRDefault="005C3A70" w:rsidP="003173B4">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lightGray"/>
        </w:rPr>
        <w:t>6.5.6</w:t>
      </w:r>
      <w:r>
        <w:rPr>
          <w:rFonts w:ascii="Arial" w:eastAsia="Arial" w:hAnsi="Arial" w:cs="Arial"/>
          <w:color w:val="000000"/>
          <w:highlight w:val="lightGray"/>
        </w:rPr>
        <w:tab/>
        <w:t>Los SBIA generativos que utilicen información institucional incorporan mecanismos que vinculen los resultados generados con sus fuentes de información autorizadas y vigentes. Esta trazabilidad sustenta la explicabilidad exigida en el numeral 6.9.3.</w:t>
      </w:r>
    </w:p>
    <w:p w14:paraId="3924C9AF"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6.5.7</w:t>
      </w:r>
      <w:r>
        <w:rPr>
          <w:rFonts w:ascii="Arial" w:eastAsia="Arial" w:hAnsi="Arial" w:cs="Arial"/>
          <w:color w:val="000000"/>
          <w:highlight w:val="green"/>
        </w:rPr>
        <w:tab/>
        <w:t>La publicación del código fuente de los SBIA financiados con fondos públicos, con licencia libre o abierta en la Plataforma Nacional de Software Público Peruano (PNSSP), se sujeta a la determinación previa de su publicabilidad. Esta obligación está prevista en el numeral 28.8 del artículo 28 del RLIA. Dicha determinación verifica que el código no revele información sujeta a reserva tributaria conforme al artículo 85 del TUO del Código Tributario. Verifica asimismo que no revele reglas de detección de riesgo cuya divulgación comprometa la función de control.</w:t>
      </w:r>
    </w:p>
    <w:p w14:paraId="535A0322"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6.5.8</w:t>
      </w:r>
      <w:r>
        <w:rPr>
          <w:rFonts w:ascii="Arial" w:eastAsia="Arial" w:hAnsi="Arial" w:cs="Arial"/>
          <w:color w:val="000000"/>
          <w:highlight w:val="green"/>
        </w:rPr>
        <w:tab/>
        <w:t xml:space="preserve">La GA conduce la determinación de publicabilidad prevista en el numeral 6.5.7. La efectúa antes de cada liberación mayor y, en todo caso, con ocasión de la </w:t>
      </w:r>
      <w:r>
        <w:rPr>
          <w:rFonts w:ascii="Arial" w:eastAsia="Arial" w:hAnsi="Arial" w:cs="Arial"/>
          <w:color w:val="000000"/>
          <w:highlight w:val="green"/>
        </w:rPr>
        <w:lastRenderedPageBreak/>
        <w:t>revisión integral anual del Inventario Institucional de SBIA prevista en el numeral 6.3.2. La GA solicita para ello la opinión de la Oficina de Seguridad Informática y la de la INALI en materia de cumplimiento normativo. Cuando la determinación comprenda el sentido y el alcance de las normas tributarias o aduaneras, la GA solicita la opinión de la Intendencia Nacional Jurídico Tributaria o de la Intendencia Nacional Jurídico Aduanera, según la materia. La publicabilidad resulta de dichas opiniones. La determinación y su resultado constan en la Ficha de Registro de SBIA (Anexo N.° 1). Cuando el código no resulte publicable, se consigna igualmente la justificación legal de la restricción. La GDS pone a disposición el código fuente cuya publicación se haya determinado procedente, conforme a los mecanismos que establezca la Plataforma Nacional de Software Público Peruano.</w:t>
      </w:r>
    </w:p>
    <w:p w14:paraId="3F3710E9" w14:textId="77777777" w:rsidR="003173B4" w:rsidRDefault="003173B4"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6.5.9</w:t>
      </w:r>
      <w:r>
        <w:rPr>
          <w:rFonts w:ascii="Arial" w:eastAsia="Arial" w:hAnsi="Arial" w:cs="Arial"/>
          <w:color w:val="000000"/>
          <w:highlight w:val="green"/>
        </w:rPr>
        <w:tab/>
        <w:t>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componente de IA puede interpretar, clasificar, recomendar u orquestar dichas funciones; su ejecución corresponde a los servicios, motores de reglas o componentes institucionales diseñados para tal fin. Esta separación se sustenta en la arquitectura de solución aprobada conforme al numeral 6.5.4, y sus criterios técnicos se desarrollan conforme al numeral 6.5.3.</w:t>
      </w:r>
    </w:p>
    <w:p w14:paraId="3E908127" w14:textId="77777777" w:rsidR="00863A18" w:rsidRDefault="00863A18" w:rsidP="00B23382">
      <w:pPr>
        <w:pStyle w:val="SubtituloDONI"/>
        <w:spacing w:line="276" w:lineRule="auto"/>
        <w:ind w:left="851"/>
      </w:pPr>
      <w:r>
        <w:t>6.6</w:t>
      </w:r>
      <w:r>
        <w:tab/>
        <w:t>De la supervisión humana</w:t>
      </w:r>
    </w:p>
    <w:p w14:paraId="48B78C16"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6.6.1</w:t>
      </w:r>
      <w:r>
        <w:rPr>
          <w:rFonts w:ascii="Arial" w:eastAsia="Arial" w:hAnsi="Arial" w:cs="Arial"/>
          <w:color w:val="000000"/>
          <w:highlight w:val="green"/>
        </w:rPr>
        <w:tab/>
        <w:t>Todo SBIA cuenta con un mecanismo de supervisión humana proporcional a su nivel de riesgo, conforme al literal h) del artículo 7 del RLIA. La modalidad de supervisión humana exigible a cada SBIA es la siguiente. Los casos de uso que se mencionan son enunciativos y no sustituyen la clasificación de riesgo prevista en el numeral 6.2.1:</w:t>
      </w:r>
    </w:p>
    <w:p w14:paraId="4485F671" w14:textId="77777777" w:rsidR="00863A18" w:rsidRPr="00923C59" w:rsidRDefault="00863A18" w:rsidP="00D37B6E">
      <w:pPr>
        <w:pStyle w:val="Prrafodelista"/>
        <w:numPr>
          <w:ilvl w:val="0"/>
          <w:numId w:val="3"/>
        </w:numPr>
        <w:spacing w:before="0" w:after="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entre otros, a los SBIA que la clasificación de riesgo determine como de riesgo alto en materia de selección de contribuyentes para fiscalización, determinación de deuda o clasificación arancelaria.</w:t>
      </w:r>
    </w:p>
    <w:p w14:paraId="624C2DB5" w14:textId="77777777" w:rsidR="00790E37" w:rsidRPr="00790E37" w:rsidRDefault="00790E37">
      <w:pPr>
        <w:pStyle w:val="Prrafodelista"/>
        <w:numPr>
          <w:ilvl w:val="0"/>
          <w:numId w:val="3"/>
        </w:numPr>
        <w:spacing w:after="40" w:line="276" w:lineRule="auto"/>
        <w:ind w:left="1701"/>
        <w:rPr>
          <w:b w:val="0"/>
          <w:bCs w:val="0"/>
          <w:color w:val="000000"/>
          <w:highlight w:val="green"/>
        </w:rPr>
      </w:pPr>
      <w:r>
        <w:rPr>
          <w:b w:val="0"/>
          <w:bCs w:val="0"/>
          <w:color w:val="000000"/>
          <w:highlight w:val="green"/>
        </w:rPr>
        <w:t>Human-on-the-loop (obligatorio para los SBIA de riesgo aceptable que interactúan directamente con el administrado o cuyo resultado influye en la atención que este recibe): Un supervisor humano monitorea las operaciones del SBIA y puede intervenir ante anomalías, sin validar cada resultado individual. Aplica, entre otros, a chatbots de atención, asistentes de orientación y preclasificación.</w:t>
      </w:r>
    </w:p>
    <w:p w14:paraId="1F825EBC"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 xml:space="preserve">Human-in-command (obligatorio para todos los SBIA): Un responsable designado por el propietario del caso de uso mantiene la capacidad de desactivar, suspender o modificar el comportamiento del SBIA en cualquier </w:t>
      </w:r>
      <w:r>
        <w:rPr>
          <w:b w:val="0"/>
          <w:bCs w:val="0"/>
          <w:color w:val="000000"/>
          <w:highlight w:val="yellow"/>
        </w:rPr>
        <w:lastRenderedPageBreak/>
        <w:t>momento, incluida la interrupción inmediata de su operación ante la detección de un riesgo.</w:t>
      </w:r>
    </w:p>
    <w:p w14:paraId="67790DF0"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La definición se efectúa conforme a la clasificación de riesgo determinada según el numeral 6.2.2. Dicha definición se documenta en la Ficha de Registro de SBIA (Anexo N.° 1) y en la EIA cuando corresponda. El mecanismo requiere la conformidad de la Comisión de Gobierno de IA en la etapa 5 del numeral 6.1.1, con anterioridad al despliegue.</w:t>
      </w:r>
    </w:p>
    <w:p w14:paraId="2A18A082"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r>
      <w:r>
        <w:rPr>
          <w:rFonts w:ascii="Arial" w:eastAsia="Arial" w:hAnsi="Arial" w:cs="Arial"/>
          <w:color w:val="000000"/>
        </w:rPr>
        <w:tab/>
        <w:t>El propietario del caso de uso garantiza que el personal de supervisión cumple con las siguientes condiciones:</w:t>
      </w:r>
    </w:p>
    <w:p w14:paraId="0DD2596C"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9BD2E91"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2"/>
      </w:r>
      <w:r>
        <w:rPr>
          <w:b w:val="0"/>
          <w:bCs w:val="0"/>
          <w:color w:val="000000"/>
          <w:highlight w:val="yellow"/>
        </w:rPr>
        <w:t>.</w:t>
      </w:r>
    </w:p>
    <w:p w14:paraId="49B06291"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0EC2321D"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4B09496B" w14:textId="77777777" w:rsidR="002555BF" w:rsidRPr="002555BF" w:rsidRDefault="002555BF">
      <w:pPr>
        <w:pStyle w:val="Prrafodelista"/>
        <w:numPr>
          <w:ilvl w:val="0"/>
          <w:numId w:val="4"/>
        </w:numPr>
        <w:spacing w:after="40" w:line="276" w:lineRule="auto"/>
        <w:ind w:left="1701"/>
        <w:rPr>
          <w:b w:val="0"/>
          <w:bCs w:val="0"/>
          <w:highlight w:val="green"/>
        </w:rPr>
      </w:pPr>
      <w:r>
        <w:rPr>
          <w:b w:val="0"/>
          <w:bCs w:val="0"/>
          <w:highlight w:val="green"/>
        </w:rPr>
        <w:t>El cumplimiento de estas condiciones es verificado por el propietario del caso de uso como condición previa al despliegue del SBIA y consta en la Ficha de Registro de SBIA (Anexo N.° 1). La capacitación específica sobre el sistema supervisado es provista por el propietario del caso de uso, sin perjuicio de las acciones formativas de alcance institucional previstas en el numeral 6.13.2.</w:t>
      </w:r>
    </w:p>
    <w:p w14:paraId="3E526144" w14:textId="77777777"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r>
      <w:r>
        <w:rPr>
          <w:rFonts w:ascii="Arial" w:eastAsia="Arial" w:hAnsi="Arial" w:cs="Arial"/>
          <w:color w:val="000000"/>
        </w:rPr>
        <w:tab/>
        <w:t xml:space="preserve">El propietario del caso de uso, con el custodio técnico, incorpora en todo SBIA, independientemente de su nivel de riesgo, medidas proporcionales para prevenir, detectar y corregir resultados discriminatorios o sesgados que puedan afectar a los administrados, conforme al literal a) del artículo 7 del RLIA y al compromiso 6 de la </w:t>
      </w:r>
      <w:r>
        <w:rPr>
          <w:rFonts w:ascii="Arial" w:hAnsi="Arial" w:cs="Arial"/>
          <w:highlight w:val="green"/>
        </w:rPr>
        <w:t>Política de IA</w:t>
      </w:r>
      <w:r>
        <w:rPr>
          <w:rFonts w:ascii="Arial" w:eastAsia="Arial" w:hAnsi="Arial" w:cs="Arial"/>
          <w:color w:val="000000"/>
          <w:highlight w:val="green"/>
        </w:rPr>
        <w:t>.</w:t>
      </w:r>
      <w:r>
        <w:rPr>
          <w:rFonts w:ascii="Arial" w:eastAsia="Arial" w:hAnsi="Arial" w:cs="Arial"/>
          <w:color w:val="000000"/>
        </w:rPr>
        <w:t xml:space="preserve"> Con anterioridad al despliegue, la ejecución de las pruebas que sustentan la medición inicial de los indicadores de sesgo previstos en el numeral 6.10.2 corresponde a la División de Control de Calidad, como prueba no funcional, conforme al literal a) del artículo 126 del ROF. Durante la operación, la medición de dichos indicadores se efectúa conforme al numeral 6.10.2. La metodología prevista en el numeral 6.1.5 desarrolla las pruebas aplicables según el tipo de SBIA. </w:t>
      </w:r>
      <w:r>
        <w:rPr>
          <w:rFonts w:ascii="Arial" w:eastAsia="Arial" w:hAnsi="Arial" w:cs="Arial"/>
          <w:color w:val="000000"/>
          <w:highlight w:val="green"/>
        </w:rPr>
        <w:t>La Comisión de Gobierno de IA verifica la implementación de estas medidas y los resultados de dichas pruebas en la etapa 5 del numeral 6.1.1, con anterioridad al despliegue.</w:t>
      </w:r>
    </w:p>
    <w:p w14:paraId="796A4DE8" w14:textId="77777777" w:rsidR="00863A18" w:rsidRPr="00923C59" w:rsidRDefault="00863A18" w:rsidP="00B23382">
      <w:pPr>
        <w:pStyle w:val="SubtituloDONI"/>
        <w:spacing w:line="276" w:lineRule="auto"/>
        <w:ind w:left="851"/>
      </w:pPr>
      <w:r>
        <w:t>6.7</w:t>
      </w:r>
      <w:r>
        <w:tab/>
        <w:t>De la seguridad y privacidad en SBIA</w:t>
      </w:r>
    </w:p>
    <w:p w14:paraId="7E3BC62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6.7.1</w:t>
      </w:r>
      <w:r>
        <w:rPr>
          <w:rFonts w:ascii="Arial" w:eastAsia="Arial" w:hAnsi="Arial" w:cs="Arial"/>
          <w:color w:val="000000"/>
          <w:highlight w:val="green"/>
        </w:rPr>
        <w:tab/>
        <w:t xml:space="preserve">Los SBIA cumplen la Política de Seguridad de la Información (SGSI-PO-01) y el Manual de Políticas del Sistema de Gestión de Seguridad de la Información </w:t>
      </w:r>
      <w:r>
        <w:rPr>
          <w:rFonts w:ascii="Arial" w:eastAsia="Arial" w:hAnsi="Arial" w:cs="Arial"/>
          <w:color w:val="000000"/>
          <w:highlight w:val="green"/>
        </w:rPr>
        <w:lastRenderedPageBreak/>
        <w:t xml:space="preserve">(SGSI-MA-03) de la SUNAT, en sus versiones vigentes. El Manual de Políticas </w:t>
      </w:r>
      <w:proofErr w:type="gramStart"/>
      <w:r>
        <w:rPr>
          <w:rFonts w:ascii="Arial" w:eastAsia="Arial" w:hAnsi="Arial" w:cs="Arial"/>
          <w:color w:val="000000"/>
          <w:highlight w:val="green"/>
        </w:rPr>
        <w:t>es de aplicación</w:t>
      </w:r>
      <w:proofErr w:type="gramEnd"/>
      <w:r>
        <w:rPr>
          <w:rFonts w:ascii="Arial" w:eastAsia="Arial" w:hAnsi="Arial" w:cs="Arial"/>
          <w:color w:val="000000"/>
          <w:highlight w:val="green"/>
        </w:rPr>
        <w:t xml:space="preserve"> a todos los colaboradores, al personal de modalidades formativas y a los terceros vinculados que gestionen información de la institución. Cuando un SBIA constituya un activo de información de un proceso comprendido en el alcance del Sistema de Gestión de Seguridad de la Información, le son exigibles además los demás documentos normativos y lineamientos de dicho Sistema.</w:t>
      </w:r>
    </w:p>
    <w:p w14:paraId="562E80CA"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6.7.2</w:t>
      </w:r>
      <w:r>
        <w:rPr>
          <w:rFonts w:ascii="Arial" w:eastAsia="Arial" w:hAnsi="Arial" w:cs="Arial"/>
          <w:color w:val="000000"/>
          <w:highlight w:val="green"/>
        </w:rPr>
        <w:tab/>
        <w:t>Para los SBIA de riesgo alto y para los SBIA de riesgo aceptable que interactúen directamente con el administrado, incorporen componentes generativos o procesen datos personales o información sujeta a reserva tributaria, el custodio técnico implementa como mínimo:</w:t>
      </w:r>
    </w:p>
    <w:p w14:paraId="510FBA7F"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Controles de contención (guardrails) de entrada y salida.</w:t>
      </w:r>
    </w:p>
    <w:p w14:paraId="6372704D"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Controles de acceso basados en roles (RBAC).</w:t>
      </w:r>
    </w:p>
    <w:p w14:paraId="384B35D4"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Registro inmutable de auditoría (logs) de todas las interacciones.</w:t>
      </w:r>
    </w:p>
    <w:p w14:paraId="385CE985"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Evaluación de vulnerabilidades conforme al OWASP Top 10 para aplicaciones LLM, en la versión que determine el documento normativo del numeral 6.7.7.</w:t>
      </w:r>
    </w:p>
    <w:p w14:paraId="5F77758C"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Red teaming de los SBIA de riesgo alto, previo a su despliegue y con la periodicidad que establezca el documento normativo del numeral 6.7.7.</w:t>
      </w:r>
    </w:p>
    <w:p w14:paraId="04E55AB9"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Anonimización o seudonimización de datos personales antes del procesamiento.</w:t>
      </w:r>
    </w:p>
    <w:p w14:paraId="6DD61D08"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Su implementación se verifica en la etapa 5 del numeral 6.1.1, conforme al numeral 6.2.5. Se registra en la Ficha de Registro de SBIA (Anexo N.° 1). Estos controles constituyen medidas de seguridad digital conforme al artículo 29 del RLIA. Se implementan aplicando la NTP-ISO/IEC 27002 y la NTP-ISO 31000 vigentes, complementadas con mejores prácticas de seguridad para IA, conforme a la Sexta Disposición Complementaria Final del RLIA.</w:t>
      </w:r>
    </w:p>
    <w:p w14:paraId="4A24B417"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r>
      <w:r>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7D1DBDA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w:t>
      </w:r>
      <w:r>
        <w:rPr>
          <w:rFonts w:ascii="Arial" w:eastAsia="Arial" w:hAnsi="Arial" w:cs="Arial"/>
          <w:color w:val="000000"/>
          <w:highlight w:val="green"/>
        </w:rPr>
        <w:t xml:space="preserve"> Los controles reforzados del numeral 6.7.2 aplican adicionalmente conforme al alcance previsto en dicho numeral.</w:t>
      </w:r>
    </w:p>
    <w:p w14:paraId="7902A88E"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lastRenderedPageBreak/>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3"/>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Los que se detecten durante el diseño, el desarrollo o las pruebas se tratan dentro del ciclo de vida previsto en el numeral 6.1.1 y se resuelven con anterioridad al hito de la etapa en que se detectan. El custodio técnico deja constancia de su tratamiento y lo comunica a la Comisión de Gobierno de IA. Estas reglas comprenden los incidentes derivados del diseño, del desarrollo, del uso y del funcionamiento del SBIA, conforme al literal d) del artículo 29 del RLIA. </w:t>
      </w:r>
      <w:r>
        <w:rPr>
          <w:rFonts w:ascii="Arial" w:eastAsia="Arial" w:hAnsi="Arial" w:cs="Arial"/>
          <w:color w:val="000000"/>
          <w:highlight w:val="green"/>
        </w:rPr>
        <w:t>El propietario del caso de uso y las gerencias competentes de la INSI comunican los incidentes del uso y funcionamiento del SBIA por los canales que dichos procedimientos establecen. Son incidentes propios del SBIA, entre otros, la deriva del modelo, el resultado sistemáticamente erróneo o sesgado y el resultado que afecta la atención del administrado, aun cuando el servicio se mantenga operativo. Su atención concluye con la adopción de las medidas correctivas que correspondan conforme al numeral 6.10, y no con la sola recuperación del servicio. La Comisión de Gobierno de IA los consolida y los reporta en el informe trimestral del numeral 6.9.5.</w:t>
      </w:r>
      <w:r>
        <w:t xml:space="preserve"> </w:t>
      </w:r>
      <w:r>
        <w:rPr>
          <w:rFonts w:ascii="Arial" w:eastAsia="Arial" w:hAnsi="Arial" w:cs="Arial"/>
          <w:color w:val="000000"/>
          <w:highlight w:val="green"/>
        </w:rPr>
        <w:t>La Gerencia de Operaciones y Soporte a Usuarios adecúa el Procedimiento de Gestión de Incidentes (A-03.1.1-PR-002) para comprender los incidentes propios del SBIA y su criterio de cierre, conforme al numeral 7.6 de la presente directiva. En tanto no se apruebe dicha adecuación, estos incidentes se registran por dicho procedimiento y su atención se rige por el presente numeral.</w:t>
      </w:r>
    </w:p>
    <w:p w14:paraId="7609429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El Oficial de Datos Personales (ODP) asegura que en el desarrollo, la implementación y el uso de los SBIA se realice un tratamiento adecuado de los datos personales</w:t>
      </w:r>
      <w:r>
        <w:rPr>
          <w:rStyle w:val="Refdenotaalpie"/>
        </w:rPr>
        <w:footnoteReference w:id="4"/>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5C4CE0E4" w14:textId="77777777" w:rsidR="0084436F" w:rsidRDefault="0084436F"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6.7.7</w:t>
      </w:r>
      <w:r>
        <w:rPr>
          <w:rFonts w:ascii="Arial" w:eastAsia="Arial" w:hAnsi="Arial" w:cs="Arial"/>
          <w:color w:val="000000"/>
          <w:highlight w:val="green"/>
        </w:rPr>
        <w:tab/>
        <w:t xml:space="preserve">La Oficina de Seguridad Informática elabora y propone el documento normativo de seguridad informática para SBIA, que desarrolla la forma de implementar y verificar los controles del numeral 6.7.2 y la periodicidad de las pruebas de vulnerabilidad y del red teaming, conforme al artículo 106, literales a) y c), del ROF. Su aprobación se efectúa conforme al numeral 7.6. </w:t>
      </w:r>
      <w:r>
        <w:rPr>
          <w:rFonts w:ascii="Arial" w:eastAsia="Arial" w:hAnsi="Arial" w:cs="Arial"/>
          <w:color w:val="000000"/>
          <w:highlight w:val="cyan"/>
        </w:rPr>
        <w:t>En tanto no se apruebe, los SBIA observan los controles mínimos del referido numeral. Las pruebas de vulnerabilidad y el red teaming se efectúan con anterioridad a cada despliegue. Durante la operación se efectúan con la frecuencia que la Comisión de Gobierno de IA determine en el plan de monitoreo del SBIA.</w:t>
      </w:r>
    </w:p>
    <w:p w14:paraId="0C5C67AB" w14:textId="77777777" w:rsidR="00AF13D8" w:rsidRDefault="003173B4"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lastRenderedPageBreak/>
        <w:t>6.7.8</w:t>
      </w:r>
      <w:r>
        <w:rPr>
          <w:rFonts w:ascii="Arial" w:eastAsia="Arial" w:hAnsi="Arial" w:cs="Arial"/>
          <w:color w:val="000000"/>
          <w:highlight w:val="green"/>
        </w:rPr>
        <w:tab/>
        <w:t>El propietario del caso de uso, con el custodio técnico del SBIA, define el tratamiento de conservación y eliminación de las instrucciones (prompt), respuestas, contextos, representaciones vectoriales (embeddings), registros de interacción y demás información que el SBIA genere o procese durante su operación. El plazo de conservación se determina en función del nivel de riesgo del SBIA, del valor probatorio de la información, de su sensibilidad y de los requisitos de auditoría aplicables, y observa la normativa institucional de gestión documental y archivo que resulte aplicable. En tanto dicha normativa no comprenda la información que el SBIA genera, el plazo se fija en el plan de monitoreo del SBIA y no puede ser inferior al exigido por la normativa tributaria y aduanera para la actuación en que el SBIA interviene. Para determinar dicho mínimo, la Comisión de Gobierno de IA convoca a la Intendencia Nacional Jurídico Tributaria o a la Intendencia Nacional Jurídico Aduanera, según la materia. La conservación, el acceso y el uso de dicha información observan la reserva tributaria conforme al artículo 85 del TUO del Código Tributario y la normativa sobre protección de datos personales. El respaldo de la infraestructura tecnológica en la que reside dicha información, así como la custodia y disponibilidad de los medios correspondientes, están a cargo de la División de Soporte y Operación de la Infraestructura Tecnológica, conforme al literal b) del artículo 138 del ROF, y observan lo dispuesto en el numeral 6.7.1.</w:t>
      </w:r>
    </w:p>
    <w:p w14:paraId="5001C09F" w14:textId="77777777" w:rsidR="00931E16" w:rsidRDefault="00931E16" w:rsidP="00AF13D8">
      <w:pPr>
        <w:pStyle w:val="SubtituloDONI"/>
        <w:spacing w:line="276" w:lineRule="auto"/>
        <w:ind w:left="851"/>
      </w:pPr>
      <w:r>
        <w:t>6.8</w:t>
      </w:r>
      <w:r>
        <w:tab/>
        <w:t>De los datos para los SBIA</w:t>
      </w:r>
    </w:p>
    <w:p w14:paraId="6E4761C2"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5"/>
      </w:r>
      <w:r>
        <w:rPr>
          <w:rFonts w:ascii="Arial" w:eastAsia="Arial" w:hAnsi="Arial" w:cs="Arial"/>
          <w:color w:val="000000"/>
          <w:highlight w:val="yellow"/>
        </w:rPr>
        <w:t>, y en concordancia con la ENGD.</w:t>
      </w:r>
    </w:p>
    <w:p w14:paraId="437E530D"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6"/>
      </w:r>
      <w:r>
        <w:rPr>
          <w:rFonts w:ascii="Arial" w:eastAsia="Arial" w:hAnsi="Arial" w:cs="Arial"/>
          <w:color w:val="000000"/>
          <w:highlight w:val="yellow"/>
        </w:rPr>
        <w:t xml:space="preserve"> y asegura su calidad e integridad</w:t>
      </w:r>
      <w:r>
        <w:rPr>
          <w:rStyle w:val="Refdenotaalpie"/>
        </w:rPr>
        <w:footnoteReference w:id="7"/>
      </w:r>
      <w:r>
        <w:rPr>
          <w:rFonts w:ascii="Arial" w:eastAsia="Arial" w:hAnsi="Arial" w:cs="Arial"/>
          <w:color w:val="000000"/>
          <w:highlight w:val="yellow"/>
        </w:rPr>
        <w:t>. Emite opinión sobre el uso de datos en la Ficha de Evaluación de Caso de Uso (Anexo N.° 4) y en la EIA, cuando corresponda.</w:t>
      </w:r>
    </w:p>
    <w:p w14:paraId="6044F210" w14:textId="77777777" w:rsidR="00863A18" w:rsidRPr="00EC79A5" w:rsidRDefault="00931E16" w:rsidP="001609F8">
      <w:pPr>
        <w:tabs>
          <w:tab w:val="left" w:pos="1276"/>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6.8.3</w:t>
      </w:r>
      <w:r>
        <w:rPr>
          <w:rFonts w:ascii="Arial" w:eastAsia="Arial" w:hAnsi="Arial" w:cs="Arial"/>
          <w:color w:val="000000"/>
          <w:highlight w:val="green"/>
        </w:rPr>
        <w:tab/>
        <w:t>El uso de datos protegidos por la reserva tributaria para el desarrollo, entrenamiento, validación u operación de un SBIA requiere la determinación previa de su base legal, conforme al artículo 85 del TUO del Código Tributario. La determinación es previa al inicio del desarrollo o adquisición y consta en la Ficha de Registro de SBIA (Anexo N.° 1). La determinación corresponde al propietario del caso de uso, y la Comisión de Gobierno de IA convoca a la Intendencia Nacional Jurídico Tributaria y, en materia aduanera, a la Intendencia Nacional Jurídico Aduanera, cuya opinión sustenta dicha determinación.</w:t>
      </w:r>
    </w:p>
    <w:p w14:paraId="50072F92"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lastRenderedPageBreak/>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que lo permita</w:t>
      </w:r>
      <w:r>
        <w:rPr>
          <w:rStyle w:val="Refdenotaalpie"/>
        </w:rPr>
        <w:footnoteReference w:id="8"/>
      </w:r>
      <w:r>
        <w:rPr>
          <w:rFonts w:ascii="Arial" w:eastAsia="Arial" w:hAnsi="Arial" w:cs="Arial"/>
          <w:color w:val="000000"/>
          <w:highlight w:val="yellow"/>
        </w:rPr>
        <w:t>.</w:t>
      </w:r>
    </w:p>
    <w:p w14:paraId="3EB8D320" w14:textId="77777777" w:rsidR="005C3A70" w:rsidRPr="00E207DD" w:rsidRDefault="005C3A70" w:rsidP="00E207DD">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6.8.5</w:t>
      </w:r>
      <w:r>
        <w:rPr>
          <w:rFonts w:ascii="Arial" w:eastAsia="Arial" w:hAnsi="Arial" w:cs="Arial"/>
          <w:color w:val="000000"/>
          <w:highlight w:val="green"/>
        </w:rPr>
        <w:tab/>
        <w:t>Los conjuntos de datos que la SUNAT genere o administre y que califiquen como datos de alto valor se ponen a disposición a través del Centro Nacional de Datos (CND), conforme al numeral 28.7 del artículo 28 del RLIA. La calificación se efectúa conforme a los lineamientos nacionales para la identificación de Datos de Alto Valor que emita la SGTD en aplicación de la Estrategia Nacional de Gobierno de Datos; en tanto no se emitan, el OGD aplica los criterios de priorización que dicha Estrategia enuncia para la publicación obligatoria de Datos de Alto Valor: carácter estratégico, interés nacional, planificación y gestión territorial o alto impacto social. El OGD identifica anualmente los conjuntos candidatos, determina su publicabilidad y propone al CGTD su publicación. La determinación de publicabilidad aplica la reserva tributaria conforme al artículo 85 del TUO del Código Tributario, incluidas sus excepciones expresas (entre ellas la publicación de datos estadísticos de carácter global que no permita la individualización de declaraciones, informaciones, cuentas o personas), y la normativa sobre protección de datos personales. Cuando un conjunto no resulte publicable, la justificación legal de la restricción consta igualmente en el acuerdo del CGTD. Aprobada la publicación, el OGD coordina la puesta a disposición con la unidad de organización que administra el conjunto.</w:t>
      </w:r>
    </w:p>
    <w:p w14:paraId="5388395B" w14:textId="77777777" w:rsidR="00670027" w:rsidRPr="00641EAF" w:rsidRDefault="00670027" w:rsidP="005C3A70">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6.8.6</w:t>
      </w:r>
      <w:r>
        <w:rPr>
          <w:rFonts w:ascii="Arial" w:eastAsia="Arial" w:hAnsi="Arial" w:cs="Arial"/>
          <w:color w:val="000000"/>
          <w:highlight w:val="green"/>
        </w:rPr>
        <w:tab/>
        <w:t>Los SBIA se construyen sobre conjuntos de datos certificados conforme a la normativa institucional de gobernanza de datos y analítica, cuando estos existan para la materia. El uso de fuentes no certificadas se justifica en la Ficha de Evaluación de Caso de Uso (Anexo N.° 4) y consta en la Ficha de Registro de SBIA (Anexo N.° 1). En tanto no exista normativa de certificación para la materia, el OGD emite opinión sobre la idoneidad de los conjuntos de datos, conforme al numeral 6.8.2.</w:t>
      </w:r>
    </w:p>
    <w:p w14:paraId="2C0D43E2"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13F1F731" w14:textId="77777777" w:rsidR="00863A18" w:rsidRPr="00923C59" w:rsidRDefault="00863A18" w:rsidP="00B23382">
      <w:pPr>
        <w:pStyle w:val="SubtituloDONI"/>
        <w:spacing w:line="276" w:lineRule="auto"/>
        <w:ind w:left="851"/>
      </w:pPr>
      <w:r>
        <w:t>6.9</w:t>
      </w:r>
      <w:r>
        <w:tab/>
        <w:t>De la transparencia, explicabilidad y rendición de cuentas</w:t>
      </w:r>
    </w:p>
    <w:p w14:paraId="44A4CE38" w14:textId="77777777" w:rsidR="00836DA1" w:rsidRPr="00E151B6" w:rsidRDefault="00000000" w:rsidP="00E151B6">
      <w:pPr>
        <w:spacing w:after="60" w:line="276" w:lineRule="auto"/>
        <w:ind w:left="1276" w:hanging="720"/>
        <w:jc w:val="both"/>
        <w:rPr>
          <w:rFonts w:ascii="Arial" w:eastAsia="Arial" w:hAnsi="Arial" w:cs="Arial"/>
          <w:color w:val="000000"/>
          <w:highlight w:val="yellow"/>
        </w:rPr>
      </w:pPr>
      <w:r>
        <w:rPr>
          <w:rFonts w:ascii="Arial" w:eastAsia="Arial" w:hAnsi="Arial" w:cs="Arial"/>
          <w:color w:val="000000"/>
          <w:highlight w:val="yellow"/>
        </w:rPr>
        <w:t>6.9.1</w:t>
      </w:r>
      <w:r>
        <w:rPr>
          <w:rFonts w:ascii="Arial" w:eastAsia="Arial" w:hAnsi="Arial" w:cs="Arial"/>
          <w:color w:val="000000"/>
          <w:highlight w:val="yellow"/>
        </w:rPr>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9"/>
      </w:r>
      <w:r>
        <w:rPr>
          <w:rFonts w:ascii="Arial" w:eastAsia="Arial" w:hAnsi="Arial" w:cs="Arial"/>
          <w:color w:val="000000"/>
          <w:highlight w:val="yellow"/>
        </w:rPr>
        <w:t>. La descripción de dichos mecanismos consta en la Ficha de Registro de SBIA (Anexo N.° 1).</w:t>
      </w:r>
      <w:r>
        <w:rPr>
          <w:rFonts w:ascii="Times New Roman" w:eastAsia="Times New Roman" w:hAnsi="Times New Roman" w:cs="Times New Roman"/>
          <w:caps/>
          <w:sz w:val="24"/>
          <w:szCs w:val="24"/>
        </w:rPr>
        <w:t xml:space="preserve"> </w:t>
      </w:r>
      <w:r>
        <w:rPr>
          <w:rFonts w:ascii="Arial" w:eastAsia="Arial" w:hAnsi="Arial" w:cs="Arial"/>
          <w:color w:val="000000"/>
          <w:highlight w:val="green"/>
        </w:rPr>
        <w:t>El alcance de la transparencia algorítmica es el definido en el glosario de la presente directiva. La atención de las solicitudes de acceso a la información que versen sobre un SBIA se sujeta a dicho alcance y a los límites legales aplicables.</w:t>
      </w:r>
    </w:p>
    <w:p w14:paraId="018815C3"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lastRenderedPageBreak/>
        <w:t>6.9.2</w:t>
      </w:r>
      <w:r>
        <w:rPr>
          <w:rFonts w:ascii="Arial" w:eastAsia="Arial" w:hAnsi="Arial" w:cs="Arial"/>
          <w:color w:val="000000"/>
          <w:highlight w:val="cyan"/>
        </w:rPr>
        <w:tab/>
        <w:t>Entre los mecanismos del numeral 6.9.1 se incluye el etiquetado visible del SBIA. El etiquetado informa al usuario, con antelación, que el producto, servicio o contenido se opera con base en IA. Permite además comprender de manera general sus principales capacidades y limitaciones funcionales. El etiquetado alcanza también a todo SBIA que interactúe directamente con el administrado, cualquiera sea su nivel de riesgo.</w:t>
      </w:r>
      <w:r>
        <w:t xml:space="preserve"> </w:t>
      </w:r>
      <w:r>
        <w:rPr>
          <w:rFonts w:ascii="Arial" w:eastAsia="Arial" w:hAnsi="Arial" w:cs="Arial"/>
          <w:color w:val="000000"/>
          <w:highlight w:val="green"/>
        </w:rPr>
        <w:t>Este etiquetado se aplica cuando resulta relevante para la toma de decisión o la interacción del usuario, sea este un administrado o un trabajador de la SUNAT, conforme al numeral 25.2 del artículo 25 del RLIA. No es exigible cuando la IA apoya procesos administrativos internos sin impacto directo en la toma de decisiones que afecten derechos o servicios a las personas. La relevancia se determina para cada SBIA y su resultado consta en la Ficha de Registro de SBIA (Anexo N.° 1).</w:t>
      </w:r>
    </w:p>
    <w:p w14:paraId="5CB77E07" w14:textId="77777777" w:rsidR="00836DA1" w:rsidRPr="00E151B6" w:rsidRDefault="00000000" w:rsidP="005060AB">
      <w:pPr>
        <w:spacing w:after="60" w:line="276" w:lineRule="auto"/>
        <w:ind w:left="1276" w:hanging="709"/>
        <w:jc w:val="both"/>
      </w:pPr>
      <w:r>
        <w:rPr>
          <w:rFonts w:ascii="Arial" w:hAnsi="Arial" w:cs="Arial"/>
          <w:color w:val="000000"/>
          <w:highlight w:val="cyan"/>
        </w:rPr>
        <w:t>6.9.3</w:t>
      </w:r>
      <w:r>
        <w:rPr>
          <w:rFonts w:ascii="Arial" w:hAnsi="Arial" w:cs="Arial"/>
          <w:color w:val="000000"/>
          <w:highlight w:val="cyan"/>
        </w:rPr>
        <w:tab/>
        <w:t>Los SBIA de riesgo alto cuentan con mecanismos de explicabilidad que permitan comprender los factores que influyeron en un resultado. Cuando un SBIA intervenga en decisiones que impacten en derechos humanos, las personas afectadas tienen derecho a recibir la explicación de los resultados, conforme al numeral 25.3 del artículo 25 del RLIA. La explicación se proporciona mediante mecanismos que permitan comprender los criterios y factores clave utilizados, en un lenguaje accesible.</w:t>
      </w:r>
      <w:r>
        <w:t xml:space="preserve"> </w:t>
      </w:r>
      <w:r>
        <w:rPr>
          <w:rFonts w:ascii="Arial" w:hAnsi="Arial" w:cs="Arial"/>
          <w:color w:val="000000"/>
          <w:highlight w:val="green"/>
        </w:rPr>
        <w:t>Constituyen mecanismos de explicabilidad, según el tipo de SBIA y entre otros: la identificación de las variables o factores que influyeron en el resultado y su peso relativo; la trazabilidad del resultado hacia las fuentes de información que lo sustentan; el registro de la cadena de razonamiento cuando el SBIA la produzca; y la documentación del modelo, que comprende su finalidad, la procedencia de los datos empleados, las métricas de desempeño y las limitaciones conocidas. El custodio técnico genera y mantiene actualizada dicha documentación como condición previa al despliegue del SBIA, y su existencia se verifica en la etapa de certificación y validación del numeral 6.1.1. La explicación se proporciona con el alcance que determina el numeral 25.3 del artículo 25 del RLIA y con las limitaciones que establecen las normas sobre reserva tributaria y sobre confidencialidad de la información aduanera. Los mecanismos exigibles por tipo de SBIA y el contenido mínimo de la documentación se desarrollan en la metodología prevista en el numeral 6.1.5.</w:t>
      </w:r>
    </w:p>
    <w:p w14:paraId="066AC87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4999F83D" w14:textId="77777777" w:rsidR="00ED522E" w:rsidRDefault="00ED522E">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6.9.5</w:t>
      </w:r>
      <w:r>
        <w:rPr>
          <w:rFonts w:ascii="Arial" w:eastAsia="Arial" w:hAnsi="Arial" w:cs="Arial"/>
          <w:color w:val="000000"/>
          <w:highlight w:val="green"/>
        </w:rPr>
        <w:tab/>
        <w:t xml:space="preserve">La Comisión de Gobierno de IA reporta trimestralmente al CGTD el estado del Inventario Institucional de SBIA, los incidentes, los resultados del monitoreo, la verificación técnica de seguridad, el avance de la capacitación y el cumplimiento de los indicadores. El reporte comprende además el seguimiento de los encargos previsto en el numeral 7.6, el estado de las condiciones del PAIA previsto en el numeral 7.11 y el alineamiento previsto en el numeral 7.12. Dicho reporte constituye el informe trimestral de gobierno de IA. Da cuenta de </w:t>
      </w:r>
      <w:r>
        <w:rPr>
          <w:rFonts w:ascii="Arial" w:eastAsia="Arial" w:hAnsi="Arial" w:cs="Arial"/>
          <w:color w:val="000000"/>
          <w:highlight w:val="green"/>
        </w:rPr>
        <w:lastRenderedPageBreak/>
        <w:t>la actividad de la Comisión de Gobierno de IA y no constituye avance del Plan de Gobierno Digital.</w:t>
      </w:r>
    </w:p>
    <w:p w14:paraId="32D52908"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6.9.6</w:t>
      </w:r>
      <w:r>
        <w:rPr>
          <w:rFonts w:ascii="Arial" w:eastAsia="Arial" w:hAnsi="Arial" w:cs="Arial"/>
          <w:color w:val="000000"/>
          <w:highlight w:val="green"/>
        </w:rPr>
        <w:tab/>
        <w:t>El estado del gobierno de IA institucional se informa como sección del informe de seguimiento del Plan de Gobierno Digital que presenta el CGTD, con la periodicidad y por el conducto que dicho instrumento establece. La inclusión de los proyectos de SBIA en el Plan de Gobierno Digital se efectúa conforme al numeral 28.10 del artículo 28 del RLIA y a los numerales 7.11 y 7.12 de la presente directiva. Dicha sección sustenta la información que la SUNAT remita a la SGTD en materia de inteligencia artificial. No se genera un informe institucional adicional por esta materia.</w:t>
      </w:r>
    </w:p>
    <w:p w14:paraId="3693EED3"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r>
      <w:r>
        <w:rPr>
          <w:rFonts w:ascii="Arial" w:eastAsia="Arial" w:hAnsi="Arial" w:cs="Arial"/>
          <w:color w:val="000000"/>
          <w:highlight w:val="yellow"/>
        </w:rPr>
        <w:tab/>
        <w:t>Los lineamientos sobre Transparencia Algorítmica que apruebe la SGTD</w:t>
      </w:r>
      <w:r>
        <w:rPr>
          <w:rStyle w:val="Refdenotaalpie"/>
        </w:rPr>
        <w:footnoteReference w:id="10"/>
      </w:r>
      <w:r>
        <w:rPr>
          <w:rFonts w:ascii="Arial" w:eastAsia="Arial" w:hAnsi="Arial" w:cs="Arial"/>
          <w:color w:val="000000"/>
          <w:highlight w:val="yellow"/>
        </w:rPr>
        <w:t xml:space="preserve"> se aplican en la SUNAT desde su entrada en vigencia. La Comisión de Gobierno de IA evalúa su impacto en la presente directiva y propone al CGTD los ajustes que correspondan.</w:t>
      </w:r>
    </w:p>
    <w:p w14:paraId="643DE31A" w14:textId="77777777" w:rsidR="00863A18" w:rsidRPr="00923C59" w:rsidRDefault="00863A18" w:rsidP="00B23382">
      <w:pPr>
        <w:pStyle w:val="SubtituloDONI"/>
        <w:spacing w:line="276" w:lineRule="auto"/>
        <w:ind w:left="851"/>
      </w:pPr>
      <w:r>
        <w:t>6.10</w:t>
      </w:r>
      <w:r>
        <w:tab/>
        <w:t>Del monitoreo, auditoría y mejora continua</w:t>
      </w:r>
    </w:p>
    <w:p w14:paraId="353E3D1B" w14:textId="77777777" w:rsidR="00975D3B" w:rsidRPr="00975D3B" w:rsidRDefault="00000000" w:rsidP="0034493F">
      <w:pPr>
        <w:spacing w:after="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6.10.1</w:t>
      </w:r>
      <w:r>
        <w:rPr>
          <w:rFonts w:ascii="Arial" w:eastAsia="Arial" w:hAnsi="Arial" w:cs="Arial"/>
          <w:color w:val="000000"/>
          <w:highlight w:val="green"/>
        </w:rPr>
        <w:tab/>
        <w:t>Todo SBIA en operación es objeto de monitoreo. La Comisión de Gobierno de IA determina la frecuencia y la profundidad del monitoreo de cada SBIA en función de su nivel de riesgo, del impacto que un resultado erróneo produciría en el administrado o en la institución, del volumen de operaciones que procesa y del grado de autonomía con que opera. La frecuencia determinada, los indicadores aplicables conforme al numeral 6.10.2, sus umbrales determinados conforme a dicho numeral y los responsables de la medición constan en el plan de monitoreo del SBIA, que la Comisión de Gobierno de IA aprueba con anterioridad a su puesta en producción.</w:t>
      </w:r>
    </w:p>
    <w:p w14:paraId="2FBAF46D"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alto el monitoreo comprende, como mínimo, una revisión humana de periodicidad no mayor a la semanal y una revisión integral trimestral. </w:t>
      </w:r>
    </w:p>
    <w:p w14:paraId="323FB53E"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aceptable comprende, como mínimo, una revisión de indicadores de periodicidad no mayor a la trimestral y una revisión integral anual. </w:t>
      </w:r>
    </w:p>
    <w:p w14:paraId="5118D57A" w14:textId="77777777" w:rsidR="00975D3B" w:rsidRPr="00975D3B" w:rsidRDefault="00975D3B" w:rsidP="00975D3B">
      <w:pPr>
        <w:spacing w:after="0" w:line="276" w:lineRule="auto"/>
        <w:ind w:left="1276"/>
        <w:jc w:val="both"/>
        <w:rPr>
          <w:rFonts w:ascii="Arial" w:eastAsia="Arial" w:hAnsi="Arial" w:cs="Arial"/>
          <w:color w:val="000000"/>
          <w:highlight w:val="green"/>
        </w:rPr>
      </w:pPr>
      <w:r>
        <w:rPr>
          <w:rFonts w:ascii="Arial" w:eastAsia="Arial" w:hAnsi="Arial" w:cs="Arial"/>
          <w:color w:val="000000"/>
          <w:highlight w:val="green"/>
        </w:rPr>
        <w:t xml:space="preserve">Cuando el plan de monitoreo prevea vigilancia automatizada, esta </w:t>
      </w:r>
      <w:proofErr w:type="spellStart"/>
      <w:r>
        <w:rPr>
          <w:rFonts w:ascii="Arial" w:eastAsia="Arial" w:hAnsi="Arial" w:cs="Arial"/>
          <w:color w:val="000000"/>
          <w:highlight w:val="green"/>
        </w:rPr>
        <w:t>opera</w:t>
      </w:r>
      <w:proofErr w:type="spellEnd"/>
      <w:r>
        <w:rPr>
          <w:rFonts w:ascii="Arial" w:eastAsia="Arial" w:hAnsi="Arial" w:cs="Arial"/>
          <w:color w:val="000000"/>
          <w:highlight w:val="green"/>
        </w:rPr>
        <w:t xml:space="preserve"> durante el horario de operación del SBIA, salvo que su criticidad justifique cobertura permanente, lo que se sustenta en el mismo plan.</w:t>
      </w:r>
    </w:p>
    <w:p w14:paraId="40C28DE0" w14:textId="77777777" w:rsidR="00975D3B" w:rsidRDefault="00975D3B" w:rsidP="00975D3B">
      <w:pPr>
        <w:spacing w:after="0" w:line="276" w:lineRule="auto"/>
        <w:ind w:left="1276"/>
        <w:jc w:val="both"/>
        <w:rPr>
          <w:rFonts w:ascii="Arial" w:eastAsia="Arial" w:hAnsi="Arial" w:cs="Arial"/>
          <w:color w:val="000000"/>
        </w:rPr>
      </w:pPr>
      <w:r>
        <w:rPr>
          <w:rFonts w:ascii="Arial" w:eastAsia="Arial" w:hAnsi="Arial" w:cs="Arial"/>
          <w:color w:val="000000"/>
          <w:highlight w:val="green"/>
        </w:rPr>
        <w:t>Los criterios de determinación de la frecuencia, los tipos de monitoreo aplicables y su desarrollo operativo se establecen en la metodología prevista en el numeral 6.1.5.</w:t>
      </w:r>
    </w:p>
    <w:p w14:paraId="02C99B14" w14:textId="77777777" w:rsidR="003173B4" w:rsidRDefault="003173B4" w:rsidP="00975D3B">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6.10.2</w:t>
      </w:r>
      <w:r>
        <w:rPr>
          <w:rFonts w:ascii="Arial" w:eastAsia="Arial" w:hAnsi="Arial" w:cs="Arial"/>
          <w:color w:val="000000"/>
          <w:highlight w:val="green"/>
        </w:rPr>
        <w:tab/>
        <w:t xml:space="preserve">La Comisión de Gobierno de IA define, para cada SBIA registrado en el Inventario, los indicadores de monitoreo que como mínimo incluyen: tasa de precisión, tasa de error, tiempo de respuesta, disponibilidad, detección de drift, indicadores de sesgo, tasa de intervención humana e indicadores de detección del uso irregular previstos en el numeral 6.10.6. Los umbrales de cada indicador, las alertas que su superación activa y las acciones de tratamiento </w:t>
      </w:r>
      <w:r>
        <w:rPr>
          <w:rFonts w:ascii="Arial" w:eastAsia="Arial" w:hAnsi="Arial" w:cs="Arial"/>
          <w:color w:val="000000"/>
          <w:highlight w:val="green"/>
        </w:rPr>
        <w:lastRenderedPageBreak/>
        <w:t xml:space="preserve">correspondientes se definen con anterioridad a la puesta en producción del SBIA, conforme a la metodología prevista en el numeral 6.1.5. Tratándose de los indicadores de sesgo, el umbral se define con la opinión de la OII, que se pronuncia sobre los grupos que pueden resultar afectados y sobre la disparidad que resulta inaceptable. En tanto no se apruebe dicha metodología, se establecen en el plan de monitoreo que aprueba la Comisión de Gobierno de IA.</w:t>
      </w:r>
      <w:r>
        <w:rPr>
          <w:rFonts w:ascii="Arial" w:eastAsia="Arial" w:hAnsi="Arial" w:cs="Arial"/>
          <w:color w:val="000000"/>
        </w:rPr>
        <w:t xml:space="preserve"> </w:t>
      </w:r>
      <w:r>
        <w:rPr>
          <w:rFonts w:ascii="Arial" w:eastAsia="Arial" w:hAnsi="Arial" w:cs="Arial"/>
          <w:color w:val="000000"/>
          <w:highlight w:val="green"/>
        </w:rPr>
        <w:t>El propietario del caso de uso, con apoyo del custodio técnico, mide y reporta estos indicadores conforme a la frecuencia establecida en el numeral 6.10.1. La Comisión de Gobierno de IA consolida los resultados y los presenta al CGTD para su evaluación.</w:t>
      </w:r>
    </w:p>
    <w:p w14:paraId="0B4EF36F" w14:textId="77777777"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r>
      <w:r>
        <w:rPr>
          <w:rFonts w:ascii="Arial" w:eastAsia="Arial" w:hAnsi="Arial" w:cs="Arial"/>
          <w:color w:val="000000"/>
          <w:highlight w:val="yellow"/>
        </w:rPr>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de regresión y de sesgo que correspondan al tipo de SBIA.</w:t>
      </w:r>
    </w:p>
    <w:p w14:paraId="6EDDA065" w14:textId="77777777" w:rsidR="00532CB5" w:rsidRDefault="00D950D6" w:rsidP="00AE1F2D">
      <w:pPr>
        <w:spacing w:after="0" w:line="276" w:lineRule="auto"/>
        <w:ind w:left="1276"/>
        <w:jc w:val="both"/>
        <w:rPr>
          <w:rFonts w:ascii="Arial" w:eastAsia="Arial" w:hAnsi="Arial" w:cs="Arial"/>
          <w:color w:val="000000"/>
        </w:rPr>
      </w:pPr>
      <w:r>
        <w:rPr>
          <w:rFonts w:ascii="Arial" w:eastAsia="Arial" w:hAnsi="Arial" w:cs="Arial"/>
          <w:color w:val="000000"/>
          <w:highlight w:val="green"/>
        </w:rPr>
        <w:t>El análisis de riesgo y las pruebas de vulnerabilidad sobre la arquitectura de aplicaciones, de información y de infraestructura tecnológica que soporta cada SBIA corresponden a la Oficina de Seguridad Informática, conforme al literal b) del artículo 106 del ROF y a la etapa de certificación y validación del numeral 6.1.1. La obligación de auditorías de seguridad digital del literal c) del artículo 29 del RLIA se satisface con la concurrencia de la verificación y validación de calidad, del análisis de riesgo, las pruebas de vulnerabilidad y el red teaming previstos en el numeral 6.7.2, con anterioridad a la implementación del SBIA y con la periodicidad que establezca el documento normativo del numeral 6.7.7, y del monitoreo del numeral 6.10, que comprende los indicadores de sesgo del numeral 6.10.2 y las medidas del numeral 6.6.4, durante toda su operación. Los resultados de estas actividades alimentan el informe trimestral de la Comisión de Gobierno de IA al CGTD.</w:t>
      </w:r>
    </w:p>
    <w:p w14:paraId="475F46EE" w14:textId="77777777" w:rsidR="00532CB5" w:rsidRPr="00532CB5" w:rsidRDefault="00532CB5" w:rsidP="00532CB5">
      <w:pPr>
        <w:spacing w:after="0" w:line="276" w:lineRule="auto"/>
        <w:ind w:left="1276" w:hanging="709"/>
        <w:jc w:val="both"/>
        <w:rPr>
          <w:rFonts w:ascii="Arial" w:hAnsi="Arial" w:cs="Arial"/>
          <w:highlight w:val="lightGray"/>
        </w:rPr>
      </w:pPr>
      <w:r>
        <w:rPr>
          <w:rFonts w:ascii="Arial" w:hAnsi="Arial" w:cs="Arial"/>
          <w:highlight w:val="lightGray"/>
        </w:rPr>
        <w:t>6.10.4</w:t>
      </w:r>
      <w:r>
        <w:rPr>
          <w:rFonts w:ascii="Arial" w:hAnsi="Arial" w:cs="Arial"/>
          <w:highlight w:val="lightGray"/>
        </w:rPr>
        <w:tab/>
        <w:t>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lo califica como significativo o no conforme al numeral 6.10.5 y lo comunica a la Comisión de Gobierno de IA. La Comisión valida dicha calificación.</w:t>
      </w:r>
    </w:p>
    <w:p w14:paraId="2D30F9F2" w14:textId="77777777" w:rsidR="00532CB5" w:rsidRDefault="00532CB5" w:rsidP="00532CB5">
      <w:pPr>
        <w:spacing w:after="0" w:line="276" w:lineRule="auto"/>
        <w:ind w:left="1276" w:hanging="709"/>
        <w:jc w:val="both"/>
        <w:rPr>
          <w:rFonts w:ascii="Arial" w:hAnsi="Arial" w:cs="Arial"/>
        </w:rPr>
      </w:pPr>
      <w:r>
        <w:rPr>
          <w:rFonts w:ascii="Arial" w:hAnsi="Arial" w:cs="Arial"/>
          <w:highlight w:val="lightGray"/>
        </w:rPr>
        <w:t>6.10.</w:t>
      </w:r>
      <w:r>
        <w:rPr>
          <w:rFonts w:ascii="Arial" w:hAnsi="Arial" w:cs="Arial"/>
          <w:highlight w:val="green"/>
        </w:rPr>
        <w:t>5</w:t>
      </w:r>
      <w:r>
        <w:rPr>
          <w:rFonts w:ascii="Arial" w:hAnsi="Arial" w:cs="Arial"/>
          <w:highlight w:val="green"/>
        </w:rPr>
        <w:tab/>
        <w:t xml:space="preserve">Es significativo el cambio que altera el nivel de riesgo del SBIA, su finalidad, la población objetivo o el contexto de aplicación. También lo es el que degrada su desempeño por debajo de los umbrales del plan de monitoreo. Los demás cambios se gestionan conforme al numeral 6.10.4, de manera proporcional a su nivel de riesgo. El </w:t>
      </w:r>
      <w:r>
        <w:rPr>
          <w:rFonts w:ascii="Arial" w:hAnsi="Arial" w:cs="Arial"/>
          <w:highlight w:val="lightGray"/>
        </w:rPr>
        <w:t xml:space="preserve">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w:t>
      </w:r>
      <w:r>
        <w:rPr>
          <w:rFonts w:ascii="Arial" w:hAnsi="Arial" w:cs="Arial"/>
          <w:highlight w:val="lightGray"/>
        </w:rPr>
        <w:lastRenderedPageBreak/>
        <w:t>versión anterior del SBIA. La operación posterior al cambio es objeto de seguimiento reforzado durante el periodo que corresponda a su nivel de riesgo, conforme a la metodología prevista en el numeral 6.1.5.</w:t>
      </w:r>
    </w:p>
    <w:p w14:paraId="4AF17874" w14:textId="77777777" w:rsidR="00975D3B" w:rsidRDefault="00975D3B" w:rsidP="00532CB5">
      <w:pPr>
        <w:spacing w:after="0" w:line="276" w:lineRule="auto"/>
        <w:ind w:left="1276" w:hanging="709"/>
        <w:jc w:val="both"/>
        <w:rPr>
          <w:rFonts w:ascii="Arial" w:hAnsi="Arial" w:cs="Arial"/>
        </w:rPr>
      </w:pPr>
      <w:r>
        <w:rPr>
          <w:rFonts w:ascii="Arial" w:hAnsi="Arial" w:cs="Arial"/>
          <w:highlight w:val="green"/>
        </w:rPr>
        <w:t>6.10.6</w:t>
      </w:r>
      <w:r>
        <w:rPr>
          <w:rFonts w:ascii="Arial" w:hAnsi="Arial" w:cs="Arial"/>
          <w:highlight w:val="green"/>
        </w:rPr>
        <w:tab/>
        <w:t>El monitoreo comprende la detección del uso irregular del SBIA por parte de quienes lo operan o interactúan con él, con independencia del nivel de riesgo que tenga asignado. El uso irregular se distingue del uso indebido a que se refiere el artículo 23 del RLIA, que es una categoría de clasificación del SBIA. Constituyen indicios de uso irregular, entre otros, la manipulación de los datos de entrada para inducir un resultado determinado, el empleo del SBIA para una finalidad distinta de la registrada en el Inventario Institucional de SBIA y los patrones de uso incompatibles con la operación normal del proceso. La Comisión de Gobierno de IA define los indicadores que permitan detectar dichos patrones, conforme al numeral 6.10.2, y los incorpora al plan de monitoreo. Los efectos del uso irregular sobre el funcionamiento del SBIA se tratan conforme al numeral 6.7.5. La conducta se comunica a la Oficina de Integridad Institucional y se trata conforme a las normas de integridad institucional.</w:t>
      </w:r>
    </w:p>
    <w:p w14:paraId="2CA6D52E" w14:textId="77777777" w:rsidR="00FC0075" w:rsidRDefault="00FC0075" w:rsidP="00532CB5">
      <w:pPr>
        <w:spacing w:after="0" w:line="276" w:lineRule="auto"/>
        <w:ind w:left="1276" w:hanging="709"/>
        <w:jc w:val="both"/>
        <w:rPr>
          <w:rFonts w:ascii="Arial" w:hAnsi="Arial" w:cs="Arial"/>
        </w:rPr>
      </w:pPr>
    </w:p>
    <w:p w14:paraId="174D13CA" w14:textId="77777777" w:rsidR="00D02E5D" w:rsidRDefault="00D02E5D" w:rsidP="00532CB5">
      <w:pPr>
        <w:spacing w:after="0" w:line="276" w:lineRule="auto"/>
        <w:ind w:left="1276" w:hanging="709"/>
        <w:jc w:val="both"/>
        <w:rPr>
          <w:rFonts w:ascii="Arial" w:hAnsi="Arial" w:cs="Arial"/>
        </w:rPr>
      </w:pPr>
    </w:p>
    <w:p w14:paraId="02FCEA34"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 y ético, de las capacidades y proveedores</w:t>
      </w:r>
    </w:p>
    <w:p w14:paraId="3BB17ABF" w14:textId="77777777" w:rsidR="00863A18" w:rsidRPr="00923C59" w:rsidRDefault="00863A18" w:rsidP="00B23382">
      <w:pPr>
        <w:pStyle w:val="SubtituloDONI"/>
        <w:spacing w:line="276" w:lineRule="auto"/>
        <w:ind w:left="851"/>
      </w:pPr>
      <w:r>
        <w:t>6.11</w:t>
      </w:r>
      <w:r>
        <w:tab/>
        <w:t>Del uso responsable de herramientas de IA</w:t>
      </w:r>
    </w:p>
    <w:p w14:paraId="22BED18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0D78CDE3" w14:textId="77777777" w:rsidR="000C7600" w:rsidRPr="000C7600" w:rsidRDefault="000C7600">
      <w:pPr>
        <w:pStyle w:val="Prrafodelista"/>
        <w:numPr>
          <w:ilvl w:val="0"/>
          <w:numId w:val="5"/>
        </w:numPr>
        <w:spacing w:after="40" w:line="276" w:lineRule="auto"/>
        <w:ind w:left="1701"/>
        <w:rPr>
          <w:b w:val="0"/>
          <w:bCs w:val="0"/>
          <w:highlight w:val="green"/>
        </w:rPr>
      </w:pPr>
      <w:r>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6E7F2686" w14:textId="77777777"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1EF5D134"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5767685E"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1BCBFF"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066DB40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6.11.2</w:t>
      </w:r>
      <w:r>
        <w:rPr>
          <w:rFonts w:ascii="Arial" w:eastAsia="Arial" w:hAnsi="Arial" w:cs="Arial"/>
          <w:color w:val="000000"/>
          <w:highlight w:val="green"/>
        </w:rPr>
        <w:tab/>
        <w:t>El catálogo de herramientas de IA autorizadas para uso institucional, en adelante el catálogo institucional, registra las herramientas aprobadas conforme al numeral 6.11.5. El catálogo precisa, para cada herramienta, el ámbito de uso autorizado (uso administrativo general o uso restringido) y si se encuentra desplegada en infraestructura bajo control de la SUNAT. Solo las herramientas desplegadas en dicha infraestructura pueden emplearse con información sujeta a reserva tributaria, conforme al numeral 6.7.3. La INSI lo publica y lo mantiene actualizado.</w:t>
      </w:r>
    </w:p>
    <w:p w14:paraId="39A13C53" w14:textId="77777777"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lastRenderedPageBreak/>
        <w:t>6.11.3</w:t>
      </w:r>
      <w:r>
        <w:rPr>
          <w:rFonts w:ascii="Arial" w:eastAsia="Arial" w:hAnsi="Arial" w:cs="Arial"/>
          <w:color w:val="000000"/>
          <w:highlight w:val="green"/>
        </w:rPr>
        <w:tab/>
        <w:t xml:space="preserve">Los lineamientos técnicos que regulan el uso de LLM open source en la infraestructura institucional integran los documentos técnicos de arquitectura previstos en el numeral 6.5.3. La División de Arquitectura de Información y de Aplicaciones los elabora y propone en lo referido al modelo y a la arquitectura de aplicaciones, conforme al literal b) del artículo 132 del ROF, y la División de Arquitectura Tecnológica en lo referido a la infraestructura especializada que los soporta, conforme a los literales c) y d) del artículo 134 del ROF. Su aprobación se efectúa conforme al numeral 6.5.3. Las unidades de organización los cumplen como condición para el despliegue de estos modelos. En tanto no se aprueben, el despliegue de estos modelos requiere la autorización previa de la Gerencia de Arquitectura y observa los controles del numeral 6.7.2. </w:t>
      </w:r>
      <w:r>
        <w:rPr>
          <w:rFonts w:ascii="Arial" w:eastAsia="Arial" w:hAnsi="Arial" w:cs="Arial"/>
          <w:color w:val="000000"/>
          <w:highlight w:val="cyan"/>
        </w:rPr>
        <w:t>El despliegue de estos modelos observa, en lo que corresponda, el Procedimiento para el Registro, Control y Retiro de Software de la SUNAT (A-03.3.2-PR-01).</w:t>
      </w:r>
    </w:p>
    <w:p w14:paraId="799421AD" w14:textId="77777777" w:rsidR="0018147B" w:rsidRDefault="00000000" w:rsidP="00454C03">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6.11.4</w:t>
      </w:r>
      <w:r>
        <w:rPr>
          <w:rFonts w:ascii="Arial" w:eastAsia="Arial" w:hAnsi="Arial" w:cs="Arial"/>
          <w:color w:val="000000"/>
          <w:highlight w:val="green"/>
        </w:rPr>
        <w:tab/>
        <w:t>Ninguna unidad de organización desarrolla, adquiere, contrata, implementa u opera SBIA fuera del límite de la presente directiva, independientemente de su complejidad, presupuesto o ámbito geográfico. En particular: (a) toda iniciativa de SBIA como proyecto se sujeta al ciclo de vida del numeral 6.1, incluidos sus hitos de aprobación, y se registra en el Inventario Institucional de SBIA; (b) toda herramienta de IA que se contrate como servicio (suscripciones, APIs, plataformas SaaS) cuenta previamente con la aprobación prevista en el numeral 6.11.5 y con su inclusión en el catálogo institucional (numeral 6.11.2). Cuando la herramienta constituya además un SBIA, le son aplicables las verificaciones del numeral 6.12 que correspondan. Los colaboradores utilizan exclusivamente las herramientas de IA que figuran en dicho catálogo. La Comisión de Gobierno de IA promueve la regularización mediante el registro y el acompañamiento proporcional a la unidad involucrada, y comunica al CGTD y, según corresponda, a la OII, los incumplimientos reiterados. Cuando de la regularización resulte que el SBIA corresponde a la categoría de uso indebido prevista en el artículo 23 del RLIA, no procede su regularización y se aplica lo dispuesto en los numerales 6.2.1, 6.2.3 y 6.2.6.</w:t>
      </w:r>
    </w:p>
    <w:p w14:paraId="42DCEEC5" w14:textId="77777777" w:rsidR="000153F0" w:rsidRDefault="00000000" w:rsidP="00454C03">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 xml:space="preserve">La GA aprueba las herramientas de IA que pueden emplearse en la SUNAT, conforme a sus funciones (artículo 130, literal c, del ROF), y las registra en el catálogo institucional. </w:t>
      </w:r>
      <w:r>
        <w:rPr>
          <w:rFonts w:ascii="Arial" w:hAnsi="Arial" w:cs="Arial"/>
          <w:color w:val="000000"/>
          <w:highlight w:val="green"/>
        </w:rPr>
        <w:t xml:space="preserve">La División de Gestión de Infraestructura Tecnológica y la División de Atención a Usuarios administran el inventario de software, cada una en el ámbito de su competencia, conforme al literal b) del artículo 140 y al literal e) del artículo 142 del ROF. A través de dicho inventario se verifica que los equipos informáticos tengan instalado únicamente software autorizado. </w:t>
      </w:r>
      <w:r>
        <w:rPr>
          <w:rFonts w:ascii="Arial" w:hAnsi="Arial" w:cs="Arial"/>
          <w:color w:val="000000"/>
          <w:highlight w:val="cyan"/>
        </w:rPr>
        <w:t>El catálogo institucional constituye el subconjunto de inteligencia artificial del inventario de software autorizado; ambos se distinguen del Inventario Institucional de SBIA, que registra los SBIA y no las herramientas.</w:t>
      </w:r>
      <w:r>
        <w:rPr>
          <w:rFonts w:ascii="Arial" w:eastAsia="Arial" w:hAnsi="Arial" w:cs="Arial"/>
          <w:color w:val="000000"/>
          <w:highlight w:val="cyan"/>
        </w:rPr>
        <w:t xml:space="preserve"> </w:t>
      </w:r>
      <w:r>
        <w:rPr>
          <w:rFonts w:ascii="Arial" w:eastAsia="Arial" w:hAnsi="Arial" w:cs="Arial"/>
          <w:color w:val="000000"/>
          <w:highlight w:val="green"/>
        </w:rPr>
        <w:t xml:space="preserve">El registro, el control y el retiro de las herramientas de IA que requieren instalación en los equipos informáticos se rigen por el Procedimiento para el Registro, Control y Retiro de Software de la SUNAT (A-03.3.2-PR-01). La Gerencia de Operaciones y Soporte a Usuarios adecúa dicho procedimiento para </w:t>
      </w:r>
      <w:r>
        <w:rPr>
          <w:rFonts w:ascii="Arial" w:eastAsia="Arial" w:hAnsi="Arial" w:cs="Arial"/>
          <w:color w:val="000000"/>
          <w:highlight w:val="green"/>
        </w:rPr>
        <w:lastRenderedPageBreak/>
        <w:t>comprender las herramientas de IA que se consumen como servicio y no requieren instalación, conforme al numeral 7.6 de la presente directiva. En tanto no se apruebe dicha adecuación, el alta y la baja de estas herramientas en el catálogo institucional se efectúan conforme al presente numeral.</w:t>
      </w:r>
    </w:p>
    <w:p w14:paraId="30C0DE66" w14:textId="77777777" w:rsidR="00863A18" w:rsidRPr="00923C59" w:rsidRDefault="00863A18" w:rsidP="00B23382">
      <w:pPr>
        <w:pStyle w:val="SubtituloDONI"/>
        <w:spacing w:line="276" w:lineRule="auto"/>
        <w:ind w:left="851"/>
      </w:pPr>
      <w:r>
        <w:t>6.12</w:t>
      </w:r>
      <w:r>
        <w:tab/>
        <w:t>De la gestión de proveedores de IA</w:t>
      </w:r>
    </w:p>
    <w:p w14:paraId="7220B8EE"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6.12.1</w:t>
      </w:r>
      <w:r>
        <w:rPr>
          <w:rFonts w:ascii="Arial" w:eastAsia="Arial" w:hAnsi="Arial" w:cs="Arial"/>
          <w:color w:val="000000"/>
          <w:highlight w:val="green"/>
        </w:rPr>
        <w:tab/>
        <w:t>La unidad de organización que formula los términos de referencia o las especificaciones técnicas para la adquisición de un SBIA incorpora en ellos los requisitos de cumplimiento de la presente directiva y de la normativa aplicable. La Gerencia de Arquitectura verifica su incorporación con anterioridad a la aprobación de los términos de referencia o de las especificaciones técnicas, conforme al literal c) del artículo 130 del ROF. El resultado de la verificación consta en el expediente de contratación.</w:t>
      </w:r>
    </w:p>
    <w:p w14:paraId="6C638668" w14:textId="77777777" w:rsidR="003173B4" w:rsidRDefault="003173B4"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6.12.2</w:t>
      </w:r>
      <w:r>
        <w:rPr>
          <w:rFonts w:ascii="Arial" w:eastAsia="Arial" w:hAnsi="Arial" w:cs="Arial"/>
          <w:color w:val="000000"/>
          <w:highlight w:val="green"/>
        </w:rPr>
        <w:tab/>
        <w:t>La unidad de organización que formula los términos de referencia o las especificaciones técnicas incorpora en ellos las cláusulas que el contrato debe contener sobre: (a) protección de datos y reserva tributaria; (b) transparencia del modelo; (c) comunicación de vulnerabilidades e incidentes; (d) derecho de auditoría, incluida la realización de auditorías éticas y de sesgo sobre el modelo; (e) transferencia de conocimiento; (f) cumplimiento de estándares técnicos; y (g) la identificación de los subprocesadores autorizados y las condiciones de recuperación de la información institucional a la conclusión del contrato. El plazo de notificación de vulnerabilidades se define en los TDR o EETT de cada contratación, según la criticidad del SBIA.</w:t>
      </w:r>
    </w:p>
    <w:p w14:paraId="41283F0A"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6.12.3</w:t>
      </w:r>
      <w:r>
        <w:rPr>
          <w:rFonts w:ascii="Arial" w:eastAsia="Arial" w:hAnsi="Arial" w:cs="Arial"/>
          <w:color w:val="000000"/>
          <w:highlight w:val="green"/>
        </w:rPr>
        <w:tab/>
        <w:t>Para SBIA SaaS, la INSI verifica que las condiciones técnicas y operativas del servicio se ajusten a la restricción del numeral 6.7.3. La compatibilidad de los términos de uso con las obligaciones de la SUNAT en materia de datos es materia de la opinión previa de la INALI prevista en el numeral 5.4. Estos SBIA no procesan información sujeta a reserva tributaria.</w:t>
      </w:r>
    </w:p>
    <w:p w14:paraId="400734D4"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6.12.4</w:t>
      </w:r>
      <w:r>
        <w:rPr>
          <w:rFonts w:ascii="Arial" w:eastAsia="Arial" w:hAnsi="Arial" w:cs="Arial"/>
          <w:color w:val="000000"/>
          <w:highlight w:val="green"/>
        </w:rPr>
        <w:tab/>
        <w:t>La unidad de organización que formula los términos de referencia o las especificaciones técnicas incorpora en ellos la cláusula que prohíbe al proveedor y a su personal emplear la información de la SUNAT a la que accedan en ejecución del contrato, las instrucciones que se les remitan y los resultados derivados de su tratamiento, para entrenar, ajustar o mejorar sus modelos o para cualquier fin distinto de la ejecución del contrato. Tratándose de información sujeta a reserva tributaria, la prohibición se sustenta en el artículo 85 del Código Tributario, que extiende la obligación de reserva a quienes accedan a dicha información.</w:t>
      </w:r>
    </w:p>
    <w:p w14:paraId="6F828CD1" w14:textId="77777777" w:rsidR="0018147B" w:rsidRDefault="00000000" w:rsidP="009A1F1B">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6.12.5</w:t>
      </w:r>
      <w:r>
        <w:rPr>
          <w:rFonts w:ascii="Arial" w:eastAsia="Arial" w:hAnsi="Arial" w:cs="Arial"/>
          <w:color w:val="000000"/>
          <w:highlight w:val="green"/>
        </w:rPr>
        <w:tab/>
        <w:t xml:space="preserve">Para los SBIA de riesgo alto, los contratos obligan al proveedor a entregar la documentación técnica sobre los principios de funcionamiento del sistema, las fuentes de datos utilizadas y la lógica del algoritmo, conforme al numeral 31.1 del artículo 31 del RLIA, en la medida necesaria para el cumplimiento de las obligaciones de transparencia y explicabilidad de la SUNAT y con respeto del secreto industrial y comercial, conforme al numeral 25.1 del artículo 25 del RLIA. La Comisión de Gobierno de IA determina el alcance de la </w:t>
      </w:r>
      <w:r>
        <w:rPr>
          <w:rFonts w:ascii="Arial" w:eastAsia="Arial" w:hAnsi="Arial" w:cs="Arial"/>
          <w:color w:val="000000"/>
          <w:highlight w:val="green"/>
        </w:rPr>
        <w:lastRenderedPageBreak/>
        <w:t>documentación exigible al evaluar el componente de IA del caso de uso. No se admiten soluciones de caja negra no auditables.</w:t>
      </w:r>
    </w:p>
    <w:p w14:paraId="7E612C07" w14:textId="77777777" w:rsidR="00863A18" w:rsidRPr="00641EAF" w:rsidRDefault="00863A18" w:rsidP="00B23382">
      <w:pPr>
        <w:pStyle w:val="SubtituloDONI"/>
        <w:spacing w:line="276" w:lineRule="auto"/>
        <w:ind w:left="851"/>
        <w:rPr>
          <w:highlight w:val="green"/>
        </w:rPr>
      </w:pPr>
      <w:r>
        <w:rPr>
          <w:highlight w:val="green"/>
        </w:rPr>
        <w:t>6.13</w:t>
      </w:r>
      <w:r>
        <w:rPr>
          <w:highlight w:val="green"/>
        </w:rPr>
        <w:tab/>
        <w:t>De la sensibilización, la capacitación y la gestión del cambio</w:t>
      </w:r>
    </w:p>
    <w:p w14:paraId="70E2FD5B"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conduce el proceso de elaboración de las acciones de sensibilización y capacitación vinculadas al uso de sistemas basados en inteligencia artificial, conforme a los literales a) y f) del artículo 197 del ROF. Las conduce con el apoyo técnico de la Comisión de Gobierno de IA y eleva la propuesta para su aprobación.</w:t>
      </w:r>
    </w:p>
    <w:p w14:paraId="4F1E6CCA"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6.13.1</w:t>
      </w:r>
      <w:r>
        <w:rPr>
          <w:rFonts w:ascii="Arial" w:eastAsia="Arial" w:hAnsi="Arial" w:cs="Arial"/>
          <w:color w:val="000000"/>
          <w:highlight w:val="lightGray"/>
        </w:rPr>
        <w:tab/>
        <w:t>Sensibilización</w:t>
      </w:r>
    </w:p>
    <w:p w14:paraId="5D406E67" w14:textId="77777777" w:rsidR="00641EAF"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Todo el personal de la SUNAT vinculado al diseño, desarrollo, implementación, evaluación o uso de SBIA es sensibilizado respecto del uso seguro, responsable y ético de dichos sistemas, así como de los riesgos asociados y de las disposiciones establecidas en la Política de IA.</w:t>
      </w:r>
    </w:p>
    <w:p w14:paraId="0BD84A46" w14:textId="77777777" w:rsidR="00462A57" w:rsidRPr="00833CDE"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Las acciones de sensibilización consideran, como mínimo:</w:t>
      </w:r>
    </w:p>
    <w:p w14:paraId="03A625A4"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finalidad y los principios institucionales aplicables a los SBIA</w:t>
      </w:r>
    </w:p>
    <w:p w14:paraId="17FEBFA0"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Los riesgos derivados de su diseño, desarrollo, implementación y uso.</w:t>
      </w:r>
    </w:p>
    <w:p w14:paraId="230A15B3"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los derechos fundamentales de los administrados y la prevención de sesgos o resultados discriminatorios.</w:t>
      </w:r>
    </w:p>
    <w:p w14:paraId="54EF2CD2"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la reserva tributaria, secreto comercial y demás obligaciones de confidencialidad aplicables.</w:t>
      </w:r>
    </w:p>
    <w:p w14:paraId="7697685A"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El impacto social y ambiental de los SBIA.</w:t>
      </w:r>
    </w:p>
    <w:p w14:paraId="298B2C66" w14:textId="77777777" w:rsidR="00462A57" w:rsidRPr="00A402D8" w:rsidRDefault="00A402D8" w:rsidP="00A402D8">
      <w:pPr>
        <w:tabs>
          <w:tab w:val="left" w:pos="1276"/>
        </w:tabs>
        <w:spacing w:line="276" w:lineRule="auto"/>
        <w:ind w:left="1276"/>
        <w:jc w:val="both"/>
        <w:rPr>
          <w:rFonts w:ascii="Arial" w:eastAsia="Arial" w:hAnsi="Arial" w:cs="Arial"/>
          <w:color w:val="000000"/>
          <w:highlight w:val="green"/>
        </w:rPr>
      </w:pPr>
      <w:r>
        <w:rPr>
          <w:rFonts w:ascii="Arial" w:eastAsia="Arial" w:hAnsi="Arial" w:cs="Arial"/>
          <w:color w:val="000000"/>
          <w:highlight w:val="green"/>
        </w:rPr>
        <w:t>Esta disposición desarrolla el principio rector de sensibilización y educación en IA establecido en el literal f) del artículo 7 del RLIA, en concordancia con el numeral 7.3 de la NTP-ISO/IEC 42001:2025.</w:t>
      </w:r>
    </w:p>
    <w:p w14:paraId="5B330784"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6.13.2</w:t>
      </w:r>
      <w:r>
        <w:rPr>
          <w:rFonts w:ascii="Arial" w:eastAsia="Arial" w:hAnsi="Arial" w:cs="Arial"/>
          <w:color w:val="000000"/>
          <w:highlight w:val="lightGray"/>
        </w:rPr>
        <w:tab/>
        <w:t>Capacitación y fortalecimiento de capacidades</w:t>
      </w:r>
    </w:p>
    <w:p w14:paraId="4FB43136"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SBIA mediante acciones formativas. </w:t>
      </w:r>
    </w:p>
    <w:p w14:paraId="4ED0D1CA"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 La Intendencia Nacional de Recursos Humanos las incorpora en dicho instrumento a propuesta de la Comisión de Gobierno de IA. En tanto no se incorporen, las acciones formativas en materia de IA se ejecutan conforme al presente numeral.</w:t>
      </w:r>
    </w:p>
    <w:p w14:paraId="3C0CFECF"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Estas acciones consideran, como mínimo:</w:t>
      </w:r>
    </w:p>
    <w:p w14:paraId="59982F87"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Los fundamentos y el ciclo de vida de los SBIA.</w:t>
      </w:r>
    </w:p>
    <w:p w14:paraId="3E643033" w14:textId="42A966C2"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gestión de los riesgos de IA.</w:t>
      </w:r>
    </w:p>
    <w:p w14:paraId="2499EC6C"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ética, integridad y responsabilidad en el uso de la IA.</w:t>
      </w:r>
    </w:p>
    <w:p w14:paraId="400FA12F"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lastRenderedPageBreak/>
        <w:t>La protección de datos personales.</w:t>
      </w:r>
    </w:p>
    <w:p w14:paraId="32A75986"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la reserva tributaria cuando los sistemas procesen información de los administrados.</w:t>
      </w:r>
    </w:p>
    <w:p w14:paraId="59222E2A"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 disposición se implementa conforme al numeral 28.5 del artículo 28 del RLIA y en concordancia con el numeral 7.2 y el Anexo A.4 de la NTP</w:t>
      </w:r>
      <w:r>
        <w:rPr>
          <w:rFonts w:ascii="Arial" w:eastAsia="Arial" w:hAnsi="Arial" w:cs="Arial"/>
          <w:color w:val="000000"/>
          <w:highlight w:val="lightGray"/>
        </w:rPr>
        <w:noBreakHyphen/>
        <w:t>ISO/IEC 42001:2025.</w:t>
      </w:r>
    </w:p>
    <w:p w14:paraId="0F51DBD9"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6.13.3</w:t>
      </w:r>
      <w:r>
        <w:rPr>
          <w:rFonts w:ascii="Arial" w:eastAsia="Arial" w:hAnsi="Arial" w:cs="Arial"/>
          <w:color w:val="000000"/>
          <w:highlight w:val="lightGray"/>
        </w:rPr>
        <w:tab/>
        <w:t>Gestión del cambio</w:t>
      </w:r>
    </w:p>
    <w:p w14:paraId="526BDE76"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0F422B6A" w14:textId="77777777"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Las acciones de gestión del cambio facilitan la consolidación de la Política de IA y del sistema de gestión de IA, promoviendo su integración en la gestión institucional y favoreciendo las condiciones organizacionales necesarias para su sostenibilidad y mejora continua, en concordancia con los numerales 28.1 y 28.2 del artículo 28 del RLIA.</w:t>
      </w:r>
    </w:p>
    <w:p w14:paraId="78882D1D"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1B37A6CD"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r>
      <w:r>
        <w:rPr>
          <w:rFonts w:ascii="Arial" w:eastAsia="Arial" w:hAnsi="Arial" w:cs="Arial"/>
          <w:color w:val="000000"/>
          <w:highlight w:val="yellow"/>
        </w:rPr>
        <w:tab/>
        <w:t>En el desarrollo, la implementación y el uso de los SBIA, la SUNAT observa las acciones previstas en el numeral 27.1 del artículo 27 del RLIA. Promueve la participación de equipos diversos y multidisciplinarios. Garantiza el pleno respeto de los derechos humanos y evita que se generen resultados injustos o discriminatorios. Considera el impacto social y ambiental. Implementa las mejores prácticas, estándares y normas técnicas para identificar y minimizar los sesgos de los algoritmos y de las bases de datos utilizados</w:t>
      </w:r>
      <w:r>
        <w:rPr>
          <w:rStyle w:val="Refdenotaalpie"/>
        </w:rPr>
        <w:footnoteReference w:id="11"/>
      </w:r>
      <w:r>
        <w:rPr>
          <w:rFonts w:ascii="Arial" w:eastAsia="Arial" w:hAnsi="Arial" w:cs="Arial"/>
          <w:color w:val="000000"/>
          <w:highlight w:val="yellow"/>
        </w:rPr>
        <w:t>.</w:t>
      </w:r>
    </w:p>
    <w:p w14:paraId="4106C44A" w14:textId="77777777"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r>
      <w:r>
        <w:rPr>
          <w:rFonts w:ascii="Arial" w:eastAsia="Arial" w:hAnsi="Arial" w:cs="Arial"/>
          <w:color w:val="000000"/>
          <w:highlight w:val="green"/>
        </w:rPr>
        <w:t xml:space="preserve">La SUNAT promueve que su personal cumpla, en el desarrollo, la implementación y el uso de los SBIA, las normas del Código de Ética de la Función Pública, su Reglamento y las normas de integridad, así como las recomendaciones internacionales y los principios éticos de la Organización para la Cooperación y el Desarrollo Económico (OCDE) en materia de inteligencia artificial, conforme al numeral 28.9 del artículo 28 del RLIA. La OII supervisa en los SBIA el cumplimiento de los principios rectores establecidos en el artículo 7 del RLIA y de los compromisos de la Política de IA; evalúa los riesgos de sesgo y discriminación y administra el canal de consultas éticas en materia de IA. </w:t>
      </w:r>
      <w:r>
        <w:rPr>
          <w:rFonts w:ascii="Arial" w:eastAsia="Arial" w:hAnsi="Arial" w:cs="Arial"/>
          <w:color w:val="000000"/>
          <w:highlight w:val="yellow"/>
        </w:rPr>
        <w:t>Su opinión sobre la clasificación de riesgo consta conforme al numeral 6.2.2.</w:t>
      </w:r>
      <w:r>
        <w:t xml:space="preserve"> </w:t>
      </w:r>
      <w:r>
        <w:rPr>
          <w:rFonts w:ascii="Arial" w:eastAsia="Arial" w:hAnsi="Arial" w:cs="Arial"/>
          <w:color w:val="000000"/>
          <w:highlight w:val="green"/>
        </w:rPr>
        <w:t>Esta disposición desarrolla el numeral 28.9 del artículo 28 del RLIA.</w:t>
      </w:r>
    </w:p>
    <w:p w14:paraId="3BA51F1A"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2"/>
      </w:r>
      <w:r>
        <w:rPr>
          <w:rFonts w:ascii="Arial" w:eastAsia="Arial" w:hAnsi="Arial" w:cs="Arial"/>
          <w:color w:val="000000"/>
          <w:highlight w:val="yellow"/>
        </w:rPr>
        <w:t xml:space="preserve"> </w:t>
      </w:r>
      <w:proofErr w:type="gramStart"/>
      <w:r>
        <w:rPr>
          <w:rFonts w:ascii="Arial" w:eastAsia="Arial" w:hAnsi="Arial" w:cs="Arial"/>
          <w:color w:val="000000"/>
          <w:highlight w:val="yellow"/>
        </w:rPr>
        <w:t>son de aplicación</w:t>
      </w:r>
      <w:proofErr w:type="gramEnd"/>
      <w:r>
        <w:rPr>
          <w:rFonts w:ascii="Arial" w:eastAsia="Arial" w:hAnsi="Arial" w:cs="Arial"/>
          <w:color w:val="000000"/>
          <w:highlight w:val="yellow"/>
        </w:rPr>
        <w:t xml:space="preserve"> en la SUNAT desde su entrada en vigencia. La Comisión de Gobierno de IA evalúa </w:t>
      </w:r>
      <w:r>
        <w:rPr>
          <w:rFonts w:ascii="Arial" w:eastAsia="Arial" w:hAnsi="Arial" w:cs="Arial"/>
          <w:color w:val="000000"/>
          <w:highlight w:val="yellow"/>
        </w:rPr>
        <w:lastRenderedPageBreak/>
        <w:t>su impacto en la presente directiva y propone al CGTD los ajustes que correspondan.</w:t>
      </w:r>
    </w:p>
    <w:p w14:paraId="48A70894" w14:textId="77777777" w:rsidR="00326739" w:rsidRDefault="00326739" w:rsidP="002D136C">
      <w:pPr>
        <w:pStyle w:val="SubtituloDONI"/>
        <w:spacing w:line="276" w:lineRule="auto"/>
        <w:ind w:left="851"/>
        <w:rPr>
          <w:highlight w:val="lightGray"/>
        </w:rPr>
      </w:pPr>
      <w:r>
        <w:rPr>
          <w:highlight w:val="lightGray"/>
        </w:rPr>
        <w:t>6.15</w:t>
      </w:r>
      <w:r>
        <w:rPr>
          <w:highlight w:val="lightGray"/>
        </w:rPr>
        <w:tab/>
        <w:t>De la articulación con la formulación de iniciativas, proyectos e inversiones</w:t>
      </w:r>
    </w:p>
    <w:p w14:paraId="4B00F154" w14:textId="77777777" w:rsidR="00B10C11" w:rsidRDefault="00B10C11" w:rsidP="00B10C11">
      <w:pPr>
        <w:tabs>
          <w:tab w:val="left" w:pos="567"/>
        </w:tabs>
        <w:spacing w:after="60" w:line="276" w:lineRule="auto"/>
        <w:ind w:left="567"/>
        <w:jc w:val="both"/>
        <w:rPr>
          <w:rFonts w:ascii="Arial" w:eastAsia="Arial" w:hAnsi="Arial" w:cs="Arial"/>
          <w:color w:val="000000"/>
        </w:rPr>
      </w:pPr>
      <w:r>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7E36FC01" w14:textId="77777777" w:rsidR="006D44AB" w:rsidRPr="006D44AB" w:rsidRDefault="00326739" w:rsidP="006D44AB">
      <w:pPr>
        <w:tabs>
          <w:tab w:val="left" w:pos="1276"/>
        </w:tabs>
        <w:spacing w:after="60" w:line="276" w:lineRule="auto"/>
        <w:ind w:left="1276" w:hanging="709"/>
        <w:jc w:val="both"/>
        <w:rPr>
          <w:rFonts w:ascii="Arial" w:hAnsi="Arial" w:cs="Arial"/>
          <w:highlight w:val="green"/>
        </w:rPr>
      </w:pPr>
      <w:r>
        <w:rPr>
          <w:rFonts w:ascii="Arial" w:hAnsi="Arial" w:cs="Arial"/>
          <w:highlight w:val="green"/>
        </w:rPr>
        <w:t>6.15.1</w:t>
      </w:r>
      <w:r>
        <w:rPr>
          <w:rFonts w:ascii="Arial" w:hAnsi="Arial" w:cs="Arial"/>
          <w:highlight w:val="green"/>
        </w:rPr>
        <w:tab/>
        <w:t>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 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Los controles aplicables se determinan a partir de la clasificación, conforme al numeral 6.2.5. La opinión no comprende la generación de valor, el costo, la prioridad ni la viabilidad presupuestal de la iniciativa, que corresponden a los instrumentos de gestión respectivos y a las instancias competentes. La opinión adopta uno de los siguientes pronunciamientos:</w:t>
      </w:r>
    </w:p>
    <w:p w14:paraId="1E6EA010" w14:textId="77777777"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Pr>
          <w:b w:val="0"/>
          <w:bCs w:val="0"/>
          <w:highlight w:val="green"/>
        </w:rPr>
        <w:t>Favorable.</w:t>
      </w:r>
    </w:p>
    <w:p w14:paraId="14FF364B" w14:textId="77777777" w:rsidR="006D44AB" w:rsidRPr="006D44AB" w:rsidRDefault="00617198"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Favorable con condiciones, que identifica los controles que corresponden conforme al numeral 6.2.5 y cuya implementación se verifica en la etapa 5 del numeral 6.1.1. Los SBIA clasificados de riesgo alto reciben este pronunciamiento.</w:t>
      </w:r>
    </w:p>
    <w:p w14:paraId="1DD2A2BB" w14:textId="77777777"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No favorable, cuando el uso es indebido conforme al artículo 23 del RLIA, contraviene la Política de IA o la normativa vigente, o el resultado esperado se alcanza sin inteligencia artificial. En este último caso la iniciativa puede continuar sin el componente de IA.</w:t>
      </w:r>
    </w:p>
    <w:p w14:paraId="34B99E5A" w14:textId="77777777" w:rsidR="006D44AB" w:rsidRDefault="006B7D44" w:rsidP="006D44AB">
      <w:pPr>
        <w:tabs>
          <w:tab w:val="left" w:pos="1276"/>
        </w:tabs>
        <w:spacing w:after="60" w:line="276" w:lineRule="auto"/>
        <w:ind w:left="1276"/>
        <w:jc w:val="both"/>
        <w:rPr>
          <w:rFonts w:ascii="Arial" w:hAnsi="Arial" w:cs="Arial"/>
        </w:rPr>
      </w:pPr>
      <w:r>
        <w:rPr>
          <w:rFonts w:ascii="Arial" w:hAnsi="Arial" w:cs="Arial"/>
          <w:highlight w:val="green"/>
        </w:rPr>
        <w:t>6.15.2</w:t>
      </w:r>
      <w:r>
        <w:rPr>
          <w:rFonts w:ascii="Arial" w:hAnsi="Arial" w:cs="Arial"/>
          <w:highlight w:val="green"/>
        </w:rPr>
        <w:tab/>
        <w:t>El uso indebido está prohibido por el artículo 23 del RLIA y el sometimiento de los SBIA de riesgo alto a condiciones y controles es obligatorio conforme al literal b) del numeral 22.1 del artículo 22 del RLIA, a sus artículos 25, 29 y 30 y al numeral 28.11 de su artículo 28: en ambos casos obliga la norma, no la opinión. En 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4FFCA1EF" w14:textId="77777777" w:rsidR="00326739" w:rsidRPr="002D136C" w:rsidRDefault="00326739" w:rsidP="006D44AB">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6.15.3</w:t>
      </w:r>
      <w:r>
        <w:rPr>
          <w:rFonts w:ascii="Arial" w:hAnsi="Arial" w:cs="Arial"/>
          <w:highlight w:val="lightGray"/>
        </w:rPr>
        <w:tab/>
        <w:t xml:space="preserve">En la gestión de la demanda informática, cuando un requerimiento implique el desarrollo, la adquisición o el uso de un SBIA o de una herramienta de IA, se recaba la opinión de la Comisión antes de su atención, con los formatos </w:t>
      </w:r>
      <w:r>
        <w:rPr>
          <w:rFonts w:ascii="Arial" w:hAnsi="Arial" w:cs="Arial"/>
          <w:highlight w:val="lightGray"/>
        </w:rPr>
        <w:lastRenderedPageBreak/>
        <w:t>vigentes de la demanda complementados con la información que la INSI determine.</w:t>
      </w:r>
    </w:p>
    <w:p w14:paraId="29DD335B" w14:textId="77777777" w:rsidR="001E5BAD" w:rsidRPr="001E5BAD" w:rsidRDefault="00326739"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6.15.4</w:t>
      </w:r>
      <w:r>
        <w:rPr>
          <w:rFonts w:ascii="Arial" w:hAnsi="Arial" w:cs="Arial"/>
          <w:highlight w:val="green"/>
        </w:rPr>
        <w:tab/>
        <w:t>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2607E242" w14:textId="77777777"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Pr>
          <w:b w:val="0"/>
          <w:bCs w:val="0"/>
          <w:highlight w:val="green"/>
        </w:rPr>
        <w:t>en el caso de negocio en su conceptualización inicial, antes de que el Superintendente Nacional Adjunto autorice su presentación al Superintendente Nacional;</w:t>
      </w:r>
    </w:p>
    <w:p w14:paraId="177FBA4C"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caso de negocio detallado y en el plan de gestión del proyecto, cuando el detalle de los componentes funcionales revele un componente de IA no previsto;</w:t>
      </w:r>
    </w:p>
    <w:p w14:paraId="1A1AB18E"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modelamiento del proceso de negocio, antes de su remisión a la INSI para desarrollo, cuando este revele un componente de IA no declarado en el alcance inicial;</w:t>
      </w:r>
    </w:p>
    <w:p w14:paraId="0D1A540E"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 actualización del caso de negocio prevista en el MGPP, cuando esta incorpore un componente de IA;</w:t>
      </w:r>
    </w:p>
    <w:p w14:paraId="46174ACB"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las solicitudes de cambio que incorporen, sustituyan o modifiquen un componente de IA, impacten o no los entregables y los hitos de control.</w:t>
      </w:r>
    </w:p>
    <w:p w14:paraId="069D1FF2" w14:textId="77777777" w:rsidR="00326739" w:rsidRPr="002D136C" w:rsidRDefault="00326739" w:rsidP="002D136C">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6.15.5</w:t>
      </w:r>
      <w:r>
        <w:rPr>
          <w:rFonts w:ascii="Arial" w:hAnsi="Arial" w:cs="Arial"/>
          <w:highlight w:val="lightGray"/>
        </w:rPr>
        <w:tab/>
        <w:t>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54DF445B" w14:textId="77777777" w:rsidR="00670027" w:rsidRDefault="00326739" w:rsidP="00EF2B54">
      <w:pPr>
        <w:spacing w:after="60" w:line="276" w:lineRule="auto"/>
        <w:ind w:left="1276" w:hanging="709"/>
        <w:jc w:val="both"/>
        <w:rPr>
          <w:rFonts w:ascii="Arial" w:hAnsi="Arial" w:cs="Arial"/>
        </w:rPr>
      </w:pPr>
      <w:r>
        <w:rPr>
          <w:rFonts w:ascii="Arial" w:hAnsi="Arial" w:cs="Arial"/>
          <w:highlight w:val="green"/>
        </w:rPr>
        <w:t>6.15.6</w:t>
      </w:r>
      <w:r>
        <w:rPr>
          <w:rFonts w:ascii="Arial" w:hAnsi="Arial" w:cs="Arial"/>
          <w:highlight w:val="green"/>
        </w:rPr>
        <w:tab/>
        <w:t>Las unidades de organización competentes de cada instrumento de gestión incorporan en sus documentos normativos la verificación del componente de IA y la opinión de la Comisión de Gobierno de IA, conforme al numeral 7.6. Esta incorporación alcanza al Modelo de Gobernabilidad de Programas y Proyectos y a la gestión de la demanda informática. La presente directiva no sustituye dichos instrumentos.</w:t>
      </w:r>
    </w:p>
    <w:p w14:paraId="144E2ECD" w14:textId="77777777" w:rsidR="000153F0" w:rsidRPr="00A72414" w:rsidRDefault="00670027" w:rsidP="00A72414">
      <w:pPr>
        <w:spacing w:after="60" w:line="276" w:lineRule="auto"/>
        <w:ind w:left="1276" w:hanging="709"/>
        <w:jc w:val="both"/>
        <w:rPr>
          <w:rFonts w:ascii="Arial" w:eastAsia="Arial" w:hAnsi="Arial" w:cs="Arial"/>
          <w:color w:val="000000"/>
          <w:highlight w:val="yellow"/>
        </w:rPr>
      </w:pPr>
      <w:r>
        <w:rPr>
          <w:rFonts w:ascii="Arial" w:hAnsi="Arial" w:cs="Arial"/>
          <w:highlight w:val="lightGray"/>
        </w:rPr>
        <w:t>6.15.7</w:t>
      </w:r>
      <w:r>
        <w:rPr>
          <w:rFonts w:ascii="Arial" w:hAnsi="Arial" w:cs="Arial"/>
          <w:highlight w:val="lightGray"/>
        </w:rPr>
        <w:tab/>
        <w:t>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institucional de gobernanza de datos y analítica. En tanto dicha normativa no se apruebe, esas materias se rigen por el numeral 6.8 de la presente directiva.</w:t>
      </w:r>
      <w:r>
        <w:rPr>
          <w:rFonts w:ascii="Arial" w:hAnsi="Arial" w:cs="Arial"/>
        </w:rPr>
        <w:br w:type="page"/>
      </w:r>
    </w:p>
    <w:p w14:paraId="16663CDA" w14:textId="77777777"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lastRenderedPageBreak/>
        <w:t>6.15.8</w:t>
      </w:r>
      <w:r>
        <w:rPr>
          <w:rFonts w:ascii="Arial" w:hAnsi="Arial" w:cs="Arial"/>
          <w:highlight w:val="green"/>
        </w:rPr>
        <w:tab/>
        <w:t>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6B392A85" w14:textId="77777777"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6.15.9</w:t>
      </w:r>
      <w:r>
        <w:rPr>
          <w:rFonts w:ascii="Arial" w:hAnsi="Arial" w:cs="Arial"/>
          <w:highlight w:val="green"/>
        </w:rPr>
        <w:tab/>
        <w:t>Cuando se requiera sustentar la opinión de la Comisión ante el Comité de Proyecto, concurre a la sesión el Coordinador de la Comisión de Gobierno de IA o el miembro que esta designe. Su concurrencia no altera la composición ni las competencias del Comité de Proyecto.</w:t>
      </w:r>
    </w:p>
    <w:p w14:paraId="0B211A6B" w14:textId="77777777" w:rsidR="00326739"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6.15.10</w:t>
      </w:r>
      <w:r>
        <w:rPr>
          <w:rFonts w:ascii="Arial" w:hAnsi="Arial" w:cs="Arial"/>
          <w:highlight w:val="green"/>
        </w:rPr>
        <w:tab/>
        <w:t>La unidad de organización competente del MGPP incorpora en dicho instrumento el momento y la instancia ante la que se recaba la opinión, conforme al numeral 7.6.</w:t>
      </w:r>
    </w:p>
    <w:p w14:paraId="0FFF3625"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t>DISPOSICIONES FINALES</w:t>
      </w:r>
      <w:bookmarkEnd w:id="7"/>
    </w:p>
    <w:p w14:paraId="4CCCD08E"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6869AA61"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38BA406D" w14:textId="77777777"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w:t>
      </w:r>
      <w:r>
        <w:rPr>
          <w:rFonts w:asciiTheme="minorHAnsi" w:eastAsiaTheme="minorEastAsia" w:hAnsiTheme="minorHAnsi" w:cstheme="minorBidi"/>
          <w:b w:val="0"/>
          <w:bCs w:val="0"/>
        </w:rPr>
        <w:t xml:space="preserve"> </w:t>
      </w:r>
      <w:r>
        <w:rPr>
          <w:b w:val="0"/>
          <w:bCs w:val="0"/>
          <w:highlight w:val="yellow"/>
        </w:rPr>
        <w:t>El CGTD adopta el acuerdo de propuesta de conformación en su primera sesión posterior a la entrada en vigencia de la presente directiva. En esa misma sesión, el CGTD designa al Coordinador de la Comisión de Gobierno de IA. La designación del Coordinador no requiere que la Comisión se encuentre conformada. En tanto la Comisión de Gobierno de IA no se conforme, el CGTD ejerce las funciones que la presente directiva asigna a aquella. La INSI prepara y eleva las propuestas correspondientes, y recaba previamente la opinión de las unidades de organización a las que el numeral 5.4 asigna una materia. Durante ese periodo, el Coordinador designado ejerce las funciones de coordinación que la presente directiva le atribuye.</w:t>
      </w:r>
    </w:p>
    <w:p w14:paraId="5C4672BB" w14:textId="77777777" w:rsidR="00CB040E" w:rsidRPr="0094125C" w:rsidRDefault="00CB040E" w:rsidP="00180A95">
      <w:pPr>
        <w:pStyle w:val="SubtituloDONI"/>
        <w:spacing w:line="276" w:lineRule="auto"/>
        <w:ind w:left="851"/>
        <w:rPr>
          <w:b w:val="0"/>
          <w:bCs w:val="0"/>
          <w:highlight w:val="green"/>
        </w:rPr>
      </w:pPr>
      <w:r>
        <w:rPr>
          <w:b w:val="0"/>
          <w:bCs w:val="0"/>
          <w:highlight w:val="green"/>
        </w:rPr>
        <w:t>7.4</w:t>
      </w:r>
      <w:r>
        <w:rPr>
          <w:b w:val="0"/>
          <w:bCs w:val="0"/>
          <w:highlight w:val="green"/>
        </w:rPr>
        <w:tab/>
        <w:t>El Sistema de Gestión de Inteligencia Artificial (SGIA) de la SUNAT se rige por la NTP-ISO/IEC 42001:2025, de uso obligatorio conforme al numeral 28.2 del artículo 28 del RLIA. Los límites y la aplicabilidad del SGIA se determinan conforme al capítulo 4.3 de la referida norma técnica, considerando el alcance, la complejidad y el contexto institucional, y su implementación se gradúa con un enfoque basado en riesgos. La Comisión de Gobierno de IA propone al CGTD el plan de implementación del SGIA, con hitos y responsables. El CGTD lo aprueba. La Comisión coordina los lineamientos técnicos que correspondan, que se aprueban conforme al numeral 7.6.</w:t>
      </w:r>
      <w:r>
        <w:rPr>
          <w:b w:val="0"/>
          <w:bCs w:val="0"/>
        </w:rPr>
        <w:t xml:space="preserve"> Las Normas Técnicas Peruanas que apruebe el Instituto Nacional de Calidad en el marco de la línea de acción 3.2 de la ENIA se toman como referencia en los documentos normativos del numeral 7.6. La Comisión de Gobierno de IA evalúa su impacto en la presente directiva y propone al CGTD los ajustes que correspondan.</w:t>
      </w:r>
    </w:p>
    <w:p w14:paraId="15AC67AC"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1211EF01" w14:textId="77777777" w:rsidR="00836DA1" w:rsidRDefault="00000000">
      <w:pPr>
        <w:pStyle w:val="SubtituloDONI"/>
        <w:spacing w:line="276" w:lineRule="auto"/>
        <w:ind w:left="851"/>
        <w:rPr>
          <w:b w:val="0"/>
          <w:bCs w:val="0"/>
        </w:rPr>
      </w:pPr>
      <w:r>
        <w:rPr>
          <w:b w:val="0"/>
          <w:bCs w:val="0"/>
          <w:color w:val="000000"/>
          <w:highlight w:val="green"/>
        </w:rPr>
        <w:lastRenderedPageBreak/>
        <w:t>7.6</w:t>
      </w:r>
      <w:r>
        <w:rPr>
          <w:color w:val="000000"/>
          <w:highlight w:val="green"/>
        </w:rPr>
        <w:tab/>
      </w:r>
      <w:r>
        <w:rPr>
          <w:b w:val="0"/>
          <w:bCs w:val="0"/>
          <w:color w:val="000000"/>
          <w:highlight w:val="green"/>
        </w:rPr>
        <w:t>Las unidades de organización a las que la presente directiva asigna una responsabilidad formulan los documentos normativos institucionales de menor rango (metodologías, guías metodológicas, procedimientos, instructivos y lineamientos temporales) que establecen la forma de ejecutar dicha responsabilidad. Su aprobación corresponde a la unidad de organización normativa que determina la METDONI conforme a las competencias del ROF; cuando la unidad que formula no cuenta con esa potestad, eleva la propuesta a la que sí la tiene.</w:t>
      </w:r>
      <w:r>
        <w:rPr>
          <w:b w:val="0"/>
          <w:bCs w:val="0"/>
          <w:color w:val="000000"/>
        </w:rPr>
        <w:t xml:space="preserve"> </w:t>
      </w:r>
      <w:r>
        <w:rPr>
          <w:b w:val="0"/>
          <w:bCs w:val="0"/>
          <w:color w:val="000000"/>
          <w:highlight w:val="lightGray"/>
        </w:rPr>
        <w:t xml:space="preserve">Dichos documentos desarrollan la aplicación de lo dispuesto en la presente directiva y no modifican sus disposiciones ni las competencias de aprobación que establece. Respecto de los Anexos, se sujetan a lo previsto en el numeral 7.9. </w:t>
      </w:r>
      <w:r>
        <w:rPr>
          <w:b w:val="0"/>
          <w:bCs w:val="0"/>
          <w:color w:val="000000"/>
          <w:highlight w:val="green"/>
        </w:rPr>
        <w:t>Constituyen encargos de la presente directiva las disposiciones que remiten expresamente al presente numeral para el desarrollo de un documento normativo institucional de menor rango. Su plazo se establece mediante acuerdo del Comité de Gobierno y Transformación Digital, adoptado en su primera sesión posterior a la entrada en vigencia de la presente directiva.</w:t>
      </w:r>
      <w:r>
        <w:rPr>
          <w:rFonts w:asciiTheme="minorHAnsi" w:eastAsiaTheme="minorEastAsia" w:hAnsiTheme="minorHAnsi" w:cstheme="minorBidi"/>
          <w:b w:val="0"/>
          <w:bCs w:val="0"/>
          <w:highlight w:val="green"/>
        </w:rPr>
        <w:t xml:space="preserve"> </w:t>
      </w:r>
      <w:r>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550AB1B5"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16505D60" w14:textId="77777777" w:rsidR="0018147B" w:rsidRDefault="00000000">
      <w:pPr>
        <w:pStyle w:val="SubtituloDONI"/>
        <w:spacing w:line="276" w:lineRule="auto"/>
        <w:ind w:left="851"/>
        <w:rPr>
          <w:b w:val="0"/>
          <w:bCs w:val="0"/>
        </w:rPr>
      </w:pPr>
      <w:r>
        <w:rPr>
          <w:b w:val="0"/>
          <w:bCs w:val="0"/>
        </w:rPr>
        <w:t>7.8</w:t>
      </w:r>
      <w:r>
        <w:rPr>
          <w:b w:val="0"/>
          <w:bCs w:val="0"/>
        </w:rPr>
        <w:tab/>
      </w:r>
      <w:r>
        <w:rPr>
          <w:b w:val="0"/>
          <w:bCs w:val="0"/>
          <w:highlight w:val="green"/>
        </w:rPr>
        <w:t>Las referencias a normas técnicas, a procedimientos, a metodologías y a instrumentos de gestión institucionales aplican a sus versiones vigentes o a las que las sustituyan. Las referencias a artículos y literales del Reglamento de Organización y Funciones se entienden hechas a su versión vigente. Tampoco alcanza a los casos en que una norma de rango superior fija la versión aplicable. Cuando la versión vigente modifique la numeración interna citada, la referencia se entiende hecha a la disposición equivalente.</w:t>
      </w:r>
    </w:p>
    <w:p w14:paraId="241ADF94" w14:textId="77777777" w:rsidR="0018147B" w:rsidRDefault="00000000" w:rsidP="00174519">
      <w:pPr>
        <w:pStyle w:val="SubtituloDONI"/>
        <w:spacing w:line="276" w:lineRule="auto"/>
        <w:ind w:left="851"/>
        <w:rPr>
          <w:b w:val="0"/>
          <w:bCs w:val="0"/>
        </w:rPr>
      </w:pPr>
      <w:r>
        <w:rPr>
          <w:b w:val="0"/>
          <w:bCs w:val="0"/>
          <w:highlight w:val="green"/>
        </w:rPr>
        <w:t>7.9</w:t>
      </w:r>
      <w:r>
        <w:rPr>
          <w:b w:val="0"/>
          <w:bCs w:val="0"/>
          <w:highlight w:val="green"/>
        </w:rPr>
        <w:tab/>
        <w:t>El detalle de aplicación de los Anexos (los formatos, los criterios de registro, los catálogos de valores y los indicadores operativos, así como los campos adicionales que resulten necesarios) se establece en los documentos normativos institucionales de menor rango previstos en el numeral 7.6, que las unidades competentes actualizan sin requerir la modificación de la presente directiva. Dichos documentos no suprimen ni reducen los campos ni los contenidos mínimos que los Anexos establecen.</w:t>
      </w:r>
    </w:p>
    <w:p w14:paraId="35FFF0FB" w14:textId="4C5D935E" w:rsidR="00E67A73" w:rsidRDefault="00000000">
      <w:pPr>
        <w:pStyle w:val="SubtituloDONI"/>
        <w:spacing w:line="276" w:lineRule="auto"/>
        <w:ind w:left="851"/>
        <w:rPr>
          <w:b w:val="0"/>
          <w:bCs w:val="0"/>
        </w:rPr>
      </w:pPr>
      <w:r>
        <w:rPr>
          <w:b w:val="0"/>
          <w:bCs w:val="0"/>
          <w:highlight w:val="yellow"/>
        </w:rPr>
        <w:t>7.10</w:t>
      </w:r>
      <w:r>
        <w:rPr>
          <w:b w:val="0"/>
          <w:bCs w:val="0"/>
          <w:highlight w:val="yellow"/>
        </w:rPr>
        <w:tab/>
        <w:t xml:space="preserve">El Oficial de Inteligencia Artificial (OIA) de la SUNAT, previsto en el artículo 6 de la Resolución Ministerial N.° 152-2026-PCM, que aprueba la ENIA,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 en aplicación de la Primera Disposición Complementaria Final de la citada Resolución Ministerial. </w:t>
      </w:r>
      <w:r w:rsidR="0012096A" w:rsidRPr="0012096A">
        <w:rPr>
          <w:b w:val="0"/>
          <w:bCs w:val="0"/>
          <w:highlight w:val="green"/>
        </w:rPr>
        <w:t>En tanto no se designe al OIA, el Coordinador designado conforme al numeral 7.3 ejerce las funciones de coordinación técnica en materia de IA.</w:t>
      </w:r>
      <w:r w:rsidR="0012096A">
        <w:rPr>
          <w:b w:val="0"/>
          <w:bCs w:val="0"/>
        </w:rPr>
        <w:t xml:space="preserve"> </w:t>
      </w:r>
      <w:r>
        <w:rPr>
          <w:b w:val="0"/>
          <w:bCs w:val="0"/>
          <w:highlight w:val="green"/>
        </w:rPr>
        <w:t xml:space="preserve">Designado el OIA, la coordinación de la Comisión de Gobierno de IA recae en él, salvo que los lineamientos de la SGTD </w:t>
      </w:r>
      <w:r>
        <w:rPr>
          <w:b w:val="0"/>
          <w:bCs w:val="0"/>
          <w:highlight w:val="green"/>
        </w:rPr>
        <w:lastRenderedPageBreak/>
        <w:t>dispongan una articulación distinta. La Comisión de Gobierno de IA evalúa su articulación conforme a dichos lineamientos y propone al CGTD los ajustes que correspondan.</w:t>
      </w:r>
      <w:r>
        <w:rPr>
          <w:b w:val="0"/>
          <w:bCs w:val="0"/>
        </w:rPr>
        <w:t xml:space="preserve"> El OIA ejerce sus funciones en el ámbito de sus competencias técnicas, sin asumir responsabilidad por las decisiones de gestión institucional que corresponden a los órganos competentes. Así lo establece el numeral 6.6 del artículo 6 de la citada Resolución Ministerial.</w:t>
      </w:r>
    </w:p>
    <w:p w14:paraId="36CC9A36" w14:textId="77777777" w:rsidR="000153F0" w:rsidRDefault="00000000">
      <w:pPr>
        <w:pStyle w:val="SubtituloDONI"/>
        <w:spacing w:line="276" w:lineRule="auto"/>
        <w:ind w:left="851"/>
        <w:rPr>
          <w:b w:val="0"/>
          <w:bCs w:val="0"/>
        </w:rPr>
      </w:pPr>
      <w:r>
        <w:rPr>
          <w:b w:val="0"/>
          <w:bCs w:val="0"/>
          <w:highlight w:val="yellow"/>
        </w:rPr>
        <w:t>7.11</w:t>
      </w:r>
      <w:r>
        <w:rPr>
          <w:b w:val="0"/>
          <w:bCs w:val="0"/>
          <w:highlight w:val="yellow"/>
        </w:rPr>
        <w:tab/>
        <w:t xml:space="preserve">El Plan de Acción de Inteligencia Artificial (PAIA) forma parte del Portafolio de Proyectos del PGD, conforme al numeral 5.5 del artículo 5 de la Resolución Ministerial N.° 152-2026-PCM. Su aprobación requiere que la SUNAT haya aprobado o implementado previamente su Plan de Acción de Gobierno de Datos (PAGD), conforme al numeral 5.4 del mismo artículo de dicha Resolución Ministerial;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Resolución Ministerial y al numeral 28.10 del artículo 28 del RLIA. </w:t>
      </w:r>
      <w:r>
        <w:rPr>
          <w:b w:val="0"/>
          <w:bCs w:val="0"/>
          <w:highlight w:val="green"/>
        </w:rPr>
        <w:t>La formulación del PAIA corresponde al OIA, conforme al numeral 6.4 del artículo 6 de la citada Resolución Ministerial, una vez designado según el numeral 7.10 y aprobado o implementado el PAGD. Aprobado el PAIA, el CGTD aprueba la conformación del Equipo Técnico de Datos e Inteligencia Artificial (ETDIA), conforme al artículo 7 de la citada Resolución Ministerial. La Comisión de Gobierno de IA informa al CGTD, en el informe trimestral del numeral 6.9.5, el estado de las condiciones previstas en el presente numeral.</w:t>
      </w:r>
    </w:p>
    <w:p w14:paraId="6244D8F7" w14:textId="77777777" w:rsidR="002555BF" w:rsidRPr="002555BF" w:rsidRDefault="002555BF" w:rsidP="002555BF">
      <w:pPr>
        <w:pStyle w:val="SubtituloDONI"/>
        <w:spacing w:line="276" w:lineRule="auto"/>
        <w:ind w:left="851"/>
        <w:rPr>
          <w:b w:val="0"/>
          <w:bCs w:val="0"/>
          <w:highlight w:val="green"/>
        </w:rPr>
      </w:pPr>
      <w:r>
        <w:rPr>
          <w:b w:val="0"/>
          <w:bCs w:val="0"/>
          <w:highlight w:val="green"/>
        </w:rPr>
        <w:t>7.12</w:t>
      </w:r>
      <w:r>
        <w:rPr>
          <w:b w:val="0"/>
          <w:bCs w:val="0"/>
          <w:highlight w:val="green"/>
        </w:rPr>
        <w:tab/>
        <w:t>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6446349" w14:textId="60A808A8" w:rsidR="00B10861" w:rsidRDefault="00000000">
      <w:pPr>
        <w:pStyle w:val="SubtituloDONI"/>
        <w:spacing w:line="276" w:lineRule="auto"/>
        <w:ind w:left="851"/>
        <w:rPr>
          <w:b w:val="0"/>
          <w:bCs w:val="0"/>
        </w:rPr>
      </w:pPr>
      <w:r>
        <w:rPr>
          <w:b w:val="0"/>
          <w:bCs w:val="0"/>
        </w:rPr>
        <w:t>7.13</w:t>
      </w:r>
      <w:r>
        <w:rPr>
          <w:b w:val="0"/>
          <w:bCs w:val="0"/>
        </w:rPr>
        <w:tab/>
      </w:r>
      <w:r w:rsidR="00E41A15" w:rsidRPr="00E41A15">
        <w:rPr>
          <w:b w:val="0"/>
          <w:bCs w:val="0"/>
        </w:rPr>
        <w:t>El OIA reporta trimestralmente al CGTD el seguimiento de la implementación del PAIA, conforme al numeral 8.3 del artículo 8 de la Resolución Ministerial N.° 152-2026-PCM. Dicho reporte se integra al informe trimestral de gobierno de IA previsto en el numeral 6.9.5. Asimismo, el OIA registra los avances de la implementación del PAIA en la Plataforma de Cumplimiento Digital, en el último trimestre de cada año, conforme al numeral 8.4 del mismo artículo.</w:t>
      </w:r>
    </w:p>
    <w:p w14:paraId="08A19C0C"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AEC3880"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13404C90"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24C5DD6C"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55CC390C"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16B55FC6" w14:textId="77777777" w:rsidR="00863A18" w:rsidRPr="00923C59" w:rsidRDefault="004F49BB" w:rsidP="0029383A">
      <w:pPr>
        <w:spacing w:line="276" w:lineRule="auto"/>
        <w:rPr>
          <w:rFonts w:ascii="Arial" w:hAnsi="Arial" w:cs="Arial"/>
        </w:rPr>
      </w:pPr>
      <w:r>
        <w:rPr>
          <w:rFonts w:ascii="Arial" w:eastAsia="Arial" w:hAnsi="Arial" w:cs="Arial"/>
          <w:b/>
          <w:bCs/>
          <w:color w:val="000000"/>
        </w:rPr>
        <w:br w:type="page"/>
      </w:r>
      <w:r>
        <w:rPr>
          <w:rFonts w:ascii="Arial" w:eastAsia="Arial" w:hAnsi="Arial" w:cs="Arial"/>
          <w:b/>
          <w:bCs/>
          <w:color w:val="000000"/>
        </w:rPr>
        <w:lastRenderedPageBreak/>
        <w:t>Anexo N.° 1: Ficha de Registro de SBIA (Campos mínimos del Inventario). Constituye el contenido mínimo del registro y se actualiza conforme al numeral 7.9.</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7E4899D7"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727DD4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F620A3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F2FF7F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5930530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42C883"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1329BA"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3479C5"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6C6FEAF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EF2DC8"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BC287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6A7DFC"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0647717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95C4F9"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B2439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D90953"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067FA68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D8EAE5"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B85F6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3006C0"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036C98B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254EE7"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50F266"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6FFDE9" w14:textId="77777777" w:rsidR="0018147B" w:rsidRDefault="003E2526">
            <w:pPr>
              <w:spacing w:before="20" w:after="20" w:line="276" w:lineRule="auto"/>
              <w:rPr>
                <w:rFonts w:ascii="Arial" w:hAnsi="Arial" w:cs="Arial"/>
              </w:rPr>
            </w:pPr>
            <w:r>
              <w:rPr>
                <w:rFonts w:ascii="Arial" w:eastAsia="Arial" w:hAnsi="Arial" w:cs="Arial"/>
              </w:rPr>
              <w:t>Uso indebido (Art. 23), Alto (Art. 24) o Aceptable (Art. 22.2). Se consigna el acuerdo del CGTD que aprueba la clasificación, su fecha y, cuando corresponda, la calificación de estratégico prevista en el numeral 5.2.1.</w:t>
            </w:r>
          </w:p>
        </w:tc>
      </w:tr>
      <w:tr w:rsidR="00863A18" w:rsidRPr="00923C59" w14:paraId="0751CBB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2C038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90BB85"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76B6DC"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3F5BD96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013BB7"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5CC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6D90E2"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5C1E514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B06A89"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3D7F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B21D63"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5D662A" w14:paraId="460EAA8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21FE39"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227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69B9ED"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 xml:space="preserve">Human-in-the-loop, on-the-loop </w:t>
            </w:r>
            <w:proofErr w:type="gramStart"/>
            <w:r>
              <w:rPr>
                <w:rFonts w:ascii="Arial" w:eastAsia="Arial" w:hAnsi="Arial" w:cs="Arial"/>
                <w:lang w:val="en-US"/>
              </w:rPr>
              <w:t>o in</w:t>
            </w:r>
            <w:proofErr w:type="gramEnd"/>
            <w:r>
              <w:rPr>
                <w:rFonts w:ascii="Arial" w:eastAsia="Arial" w:hAnsi="Arial" w:cs="Arial"/>
                <w:lang w:val="en-US"/>
              </w:rPr>
              <w:t>-command.</w:t>
            </w:r>
          </w:p>
        </w:tc>
      </w:tr>
      <w:tr w:rsidR="00863A18" w:rsidRPr="00923C59" w14:paraId="33DA764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B14A46"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7B26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851DF0" w14:textId="77777777" w:rsidR="00863A18" w:rsidRPr="00923C59" w:rsidRDefault="00863A18" w:rsidP="00B23382">
            <w:pPr>
              <w:spacing w:before="20" w:after="20" w:line="276" w:lineRule="auto"/>
              <w:rPr>
                <w:rFonts w:ascii="Arial" w:hAnsi="Arial" w:cs="Arial"/>
              </w:rPr>
            </w:pPr>
            <w:r>
              <w:rPr>
                <w:rFonts w:ascii="Arial" w:eastAsia="Arial" w:hAnsi="Arial" w:cs="Arial"/>
              </w:rPr>
              <w:t>Etapa en curso conforme al numeral 6.1.1: ideación; evaluación de viabilidad; diseño; desarrollo o adquisición; certificación y validación; despliegue; operación y monitoreo; retiro.</w:t>
            </w:r>
          </w:p>
        </w:tc>
      </w:tr>
      <w:tr w:rsidR="00863A18" w:rsidRPr="00923C59" w14:paraId="7F0DC99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F83F75"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A75826"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ED922E"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53318BF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FBD915"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C3E70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83B132"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18066E4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D3D43B"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81B02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098E4"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 con la versión vigente y la fecha de sus actualizaciones conforme a los numerales 6.4.3 y 6.10.5.</w:t>
            </w:r>
          </w:p>
        </w:tc>
      </w:tr>
      <w:tr w:rsidR="00863A18" w:rsidRPr="00923C59" w14:paraId="59EDE1C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C12841" w14:textId="77777777" w:rsidR="00863A18" w:rsidRPr="007F4CB9" w:rsidRDefault="00863A18" w:rsidP="00B23382">
            <w:pPr>
              <w:spacing w:before="20" w:after="20" w:line="276" w:lineRule="auto"/>
              <w:rPr>
                <w:rFonts w:ascii="Arial" w:hAnsi="Arial" w:cs="Arial"/>
                <w:highlight w:val="green"/>
              </w:rPr>
            </w:pPr>
            <w:r>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3221A1" w14:textId="77777777" w:rsidR="00863A18" w:rsidRPr="007F4CB9" w:rsidRDefault="003A7976" w:rsidP="00B23382">
            <w:pPr>
              <w:spacing w:before="20" w:after="20" w:line="276" w:lineRule="auto"/>
              <w:rPr>
                <w:rFonts w:ascii="Arial" w:hAnsi="Arial" w:cs="Arial"/>
                <w:highlight w:val="green"/>
              </w:rPr>
            </w:pPr>
            <w:r>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40D310" w14:textId="77777777" w:rsidR="00863A18" w:rsidRPr="007F4CB9" w:rsidRDefault="003A7976" w:rsidP="00B23382">
            <w:pPr>
              <w:spacing w:before="20" w:after="20" w:line="276" w:lineRule="auto"/>
              <w:rPr>
                <w:rFonts w:ascii="Arial" w:hAnsi="Arial" w:cs="Arial"/>
                <w:highlight w:val="green"/>
              </w:rPr>
            </w:pPr>
            <w:r>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64E41F2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FB8EC0" w14:textId="77777777" w:rsidR="00863A18" w:rsidRPr="00E810C0" w:rsidRDefault="00863A18" w:rsidP="00B23382">
            <w:pPr>
              <w:spacing w:before="20" w:after="20" w:line="276" w:lineRule="auto"/>
              <w:rPr>
                <w:rFonts w:ascii="Arial" w:hAnsi="Arial" w:cs="Arial"/>
                <w:highlight w:val="green"/>
              </w:rPr>
            </w:pPr>
            <w:r>
              <w:rPr>
                <w:rFonts w:ascii="Arial" w:eastAsia="Arial" w:hAnsi="Arial" w:cs="Arial"/>
                <w:highlight w:val="green"/>
              </w:rPr>
              <w:lastRenderedPageBreak/>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00E19" w14:textId="77777777" w:rsidR="00863A18" w:rsidRPr="00E810C0" w:rsidRDefault="00E810C0" w:rsidP="00B23382">
            <w:pPr>
              <w:spacing w:before="20" w:after="20" w:line="276" w:lineRule="auto"/>
              <w:rPr>
                <w:rFonts w:ascii="Arial" w:hAnsi="Arial" w:cs="Arial"/>
                <w:highlight w:val="green"/>
              </w:rPr>
            </w:pPr>
            <w:r>
              <w:rPr>
                <w:rFonts w:ascii="Arial" w:eastAsia="Arial" w:hAnsi="Arial" w:cs="Arial"/>
                <w:b/>
                <w:bCs/>
                <w:highlight w:val="green"/>
              </w:rPr>
              <w:t>Custodio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49D7AF" w14:textId="77777777" w:rsidR="00863A18" w:rsidRPr="00E810C0" w:rsidRDefault="00E810C0" w:rsidP="00B23382">
            <w:pPr>
              <w:spacing w:before="20" w:after="20" w:line="276" w:lineRule="auto"/>
              <w:rPr>
                <w:rFonts w:ascii="Arial" w:hAnsi="Arial" w:cs="Arial"/>
                <w:highlight w:val="green"/>
              </w:rPr>
            </w:pPr>
            <w:r>
              <w:rPr>
                <w:rFonts w:ascii="Arial" w:eastAsia="Arial" w:hAnsi="Arial" w:cs="Arial"/>
                <w:highlight w:val="green"/>
              </w:rPr>
              <w:t>Unidad de organización de la INSI a cargo del diseño técnico, la construcción o adquisición, el despliegue y la operación del SBIA, y responsable designado.</w:t>
            </w:r>
          </w:p>
        </w:tc>
      </w:tr>
      <w:tr w:rsidR="003E4730" w:rsidRPr="00923C59" w14:paraId="775F39F5"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8B0491"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3ADE67"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730A4F"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4151A4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3F743A"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5A913C"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82A587"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2300DE9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9D5D99" w14:textId="77777777" w:rsidR="00206379" w:rsidRDefault="00206379" w:rsidP="00B23382">
            <w:pPr>
              <w:spacing w:before="20" w:after="20" w:line="276" w:lineRule="auto"/>
              <w:rPr>
                <w:rFonts w:ascii="Arial" w:eastAsia="Arial" w:hAnsi="Arial" w:cs="Arial"/>
              </w:rPr>
            </w:pPr>
            <w:r>
              <w:rPr>
                <w:rFonts w:ascii="Arial" w:eastAsia="Arial" w:hAnsi="Arial" w:cs="Arial"/>
              </w:rPr>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1C8794" w14:textId="77777777" w:rsidR="00206379" w:rsidRDefault="00206379" w:rsidP="00B23382">
            <w:pPr>
              <w:spacing w:before="20" w:after="20" w:line="276" w:lineRule="auto"/>
              <w:rPr>
                <w:rFonts w:ascii="Arial" w:eastAsia="Arial" w:hAnsi="Arial" w:cs="Arial"/>
                <w:b/>
                <w:bCs/>
              </w:rPr>
            </w:pPr>
            <w:r>
              <w:rPr>
                <w:rFonts w:ascii="Arial" w:eastAsia="Arial" w:hAnsi="Arial" w:cs="Arial"/>
                <w:b/>
                <w:bCs/>
              </w:rPr>
              <w:t>Versión vigente y último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A202A" w14:textId="77777777" w:rsidR="00206379" w:rsidRDefault="00206379" w:rsidP="00B23382">
            <w:pPr>
              <w:spacing w:before="20" w:after="20" w:line="276" w:lineRule="auto"/>
              <w:rPr>
                <w:rFonts w:ascii="Arial" w:eastAsia="Arial" w:hAnsi="Arial" w:cs="Arial"/>
              </w:rPr>
            </w:pPr>
            <w:r>
              <w:rPr>
                <w:rFonts w:ascii="Arial" w:eastAsia="Arial" w:hAnsi="Arial" w:cs="Arial"/>
              </w:rPr>
              <w:t>Identificación de la versión del SBIA en producción, fecha del último cambio y su calificación como significativo o no, conforme a los numerales 6.10.4 y 6.10.5.</w:t>
            </w:r>
          </w:p>
        </w:tc>
      </w:tr>
      <w:tr w:rsidR="00AC727E" w:rsidRPr="00923C59" w14:paraId="5883307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6775C8" w14:textId="77777777"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1E6554" w14:textId="77777777" w:rsidR="00AC727E" w:rsidRPr="00AC727E" w:rsidRDefault="00AC727E" w:rsidP="00B23382">
            <w:pPr>
              <w:spacing w:before="20" w:after="20" w:line="276" w:lineRule="auto"/>
              <w:rPr>
                <w:rFonts w:ascii="Arial" w:eastAsia="Arial" w:hAnsi="Arial" w:cs="Arial"/>
                <w:b/>
                <w:bCs/>
                <w:highlight w:val="green"/>
              </w:rPr>
            </w:pPr>
            <w:r>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22221B" w14:textId="77777777"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La verificación de estas medidas se efectúa en la etapa 5 del numeral 6.1.1, con anterioridad al despliegue.</w:t>
            </w:r>
          </w:p>
        </w:tc>
      </w:tr>
      <w:tr w:rsidR="002B0710" w:rsidRPr="00923C59" w14:paraId="484C475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E60F3B" w14:textId="77777777"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20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E31C69" w14:textId="77777777" w:rsidR="002B0710" w:rsidRPr="00AC727E"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Controles reforzados aplicados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590AE" w14:textId="77777777"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Controles del numeral 6.7.2 implementados en el SBIA y fecha de su verificación: controles de contención, control de acceso basado en roles, registro inmutable de auditoría, evaluación de vulnerabilidades y, para riesgo alto, red teaming, así como anonimización o seudonimización cuando se traten datos personales. La verificación es previa al despliegue, conforme al numeral 6.2.5.</w:t>
            </w:r>
          </w:p>
        </w:tc>
      </w:tr>
      <w:tr w:rsidR="002B0710" w:rsidRPr="00923C59" w14:paraId="3F55A2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58BBAE"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24C01A"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Determinación de publicabilidad del código fuente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EA80A3"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Resultado de la determinación prevista en los numerales 6.5.7 y 6.5.8, fecha en que se efectuó y, cuando el código no resulte publicable, la justificación legal de la restricción.</w:t>
            </w:r>
          </w:p>
        </w:tc>
      </w:tr>
      <w:tr w:rsidR="002B0710" w:rsidRPr="00923C59" w14:paraId="77D1652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55D439"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B6F24"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Equipo técnico multidisciplinario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A3892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Unidades de organización que integran el equipo técnico del SBIA conforme al numeral 6.1.6 y fecha de su conformación.</w:t>
            </w:r>
          </w:p>
        </w:tc>
      </w:tr>
      <w:tr w:rsidR="002B0710" w:rsidRPr="00923C59" w14:paraId="20F00B8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23382E"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2F0577"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Base legal del uso de datos protegidos por la reserva tributaria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F18E61"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Base legal determinada conforme al numeral 6.8.3 y fecha de la determinación, con referencia a la opinión de la Intendencia Nacional Jurídico Tributaria o de la Intendencia Nacional Jurídico Aduanera. Se consigna únicamente cuando el SBIA utiliza datos protegidos por la reserva tributaria.</w:t>
            </w:r>
          </w:p>
        </w:tc>
      </w:tr>
      <w:tr w:rsidR="002B0710" w:rsidRPr="00923C59" w14:paraId="7FD0F90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F66633"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BB828E"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Plan de monitoreo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C34C3"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Referencia al plan de monitoreo del SBIA aprobado conforme al numeral 6.10.1 y fecha de su aprobación.</w:t>
            </w:r>
          </w:p>
        </w:tc>
      </w:tr>
      <w:tr w:rsidR="002B0710" w:rsidRPr="00923C59" w14:paraId="45AE3315"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ED5EE1"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lastRenderedPageBreak/>
              <w:t>25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5D842D"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Conformidad del mecanismo de 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A4932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Conformidad de la Comisión de Gobierno de IA prevista en el numeral 6.6.2 y fecha en que se emitió.</w:t>
            </w:r>
          </w:p>
        </w:tc>
      </w:tr>
      <w:tr w:rsidR="002B0710" w:rsidRPr="00923C59" w14:paraId="66B79BF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EA8678"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357B44"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Condiciones del personal de supervisión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C6B91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Verificación del cumplimiento de las condiciones previstas en el numeral 6.6.3 y fecha en que se efectuó.</w:t>
            </w:r>
          </w:p>
        </w:tc>
      </w:tr>
      <w:tr w:rsidR="002B0710" w:rsidRPr="00923C59" w14:paraId="7EAC3D3F"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E65EAB"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A921A"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Certificación de los conjuntos de datos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53A9F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Certificación de los conjuntos de datos que alimentan el SBIA conforme al numeral 6.8.6 y fecha de su emisión.</w:t>
            </w:r>
          </w:p>
        </w:tc>
      </w:tr>
    </w:tbl>
    <w:p w14:paraId="30B695E5" w14:textId="77777777" w:rsidR="00863A18" w:rsidRPr="00923C59" w:rsidRDefault="00863A18" w:rsidP="00B23382">
      <w:pPr>
        <w:spacing w:line="276" w:lineRule="auto"/>
        <w:rPr>
          <w:rFonts w:ascii="Arial" w:hAnsi="Arial" w:cs="Arial"/>
        </w:rPr>
      </w:pPr>
      <w:r>
        <w:rPr>
          <w:rFonts w:ascii="Arial" w:hAnsi="Arial" w:cs="Arial"/>
        </w:rPr>
        <w:br w:type="page"/>
      </w:r>
    </w:p>
    <w:p w14:paraId="67A13D5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2FBB39ED"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3CAA1496"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9"/>
        <w:gridCol w:w="2229"/>
        <w:gridCol w:w="2230"/>
        <w:gridCol w:w="2230"/>
      </w:tblGrid>
      <w:tr w:rsidR="003E2526" w:rsidRPr="00923C59" w14:paraId="74A17D22" w14:textId="77777777" w:rsidTr="003E2526">
        <w:trPr>
          <w:tblHeader/>
        </w:trPr>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49003" w14:textId="77777777" w:rsidR="003E2526" w:rsidRPr="00923C59" w:rsidRDefault="003E2526" w:rsidP="00B23382">
            <w:pPr>
              <w:spacing w:before="20" w:after="20" w:line="276" w:lineRule="auto"/>
              <w:rPr>
                <w:rFonts w:ascii="Arial" w:hAnsi="Arial" w:cs="Arial"/>
              </w:rPr>
            </w:pPr>
            <w:r>
              <w:rPr>
                <w:rFonts w:ascii="Arial" w:eastAsia="Arial" w:hAnsi="Arial" w:cs="Arial"/>
                <w:b/>
                <w:bCs/>
              </w:rPr>
              <w:t>Criterio</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275B4E8" w14:textId="77777777" w:rsidR="003E2526" w:rsidRDefault="003E2526">
            <w:pPr>
              <w:spacing w:before="20" w:after="20" w:line="276" w:lineRule="auto"/>
              <w:rPr>
                <w:rFonts w:ascii="Arial" w:hAnsi="Arial" w:cs="Arial"/>
              </w:rPr>
            </w:pPr>
            <w:r>
              <w:rPr>
                <w:rFonts w:ascii="Arial" w:eastAsia="Arial" w:hAnsi="Arial" w:cs="Arial"/>
                <w:b/>
                <w:bCs/>
                <w:highlight w:val="yellow"/>
              </w:rPr>
              <w:t>Riesgo aceptable (Art. 22.2)</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8A9FEC1" w14:textId="77777777" w:rsidR="003E2526" w:rsidRDefault="003E2526">
            <w:pPr>
              <w:spacing w:before="20" w:after="20" w:line="276" w:lineRule="auto"/>
              <w:rPr>
                <w:rFonts w:ascii="Arial" w:hAnsi="Arial" w:cs="Arial"/>
              </w:rPr>
            </w:pPr>
            <w:r>
              <w:rPr>
                <w:rFonts w:ascii="Arial" w:eastAsia="Arial" w:hAnsi="Arial" w:cs="Arial"/>
                <w:b/>
                <w:bCs/>
                <w:highlight w:val="yellow"/>
              </w:rPr>
              <w:t>Riesgo alto (Art. 24)</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C9ED6C0" w14:textId="77777777" w:rsidR="003E2526" w:rsidRDefault="003E2526">
            <w:pPr>
              <w:spacing w:before="20" w:after="20" w:line="276" w:lineRule="auto"/>
              <w:rPr>
                <w:rFonts w:ascii="Arial" w:hAnsi="Arial" w:cs="Arial"/>
              </w:rPr>
            </w:pPr>
            <w:r>
              <w:rPr>
                <w:rFonts w:ascii="Arial" w:eastAsia="Arial" w:hAnsi="Arial" w:cs="Arial"/>
                <w:b/>
                <w:bCs/>
                <w:highlight w:val="cyan"/>
              </w:rPr>
              <w:t>Uso indebido (Art. 23)</w:t>
            </w:r>
          </w:p>
        </w:tc>
      </w:tr>
      <w:tr w:rsidR="003E2526" w:rsidRPr="00923C59" w14:paraId="4CDB3F81"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4A651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Impacto en derechos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4A77A" w14:textId="77777777" w:rsidR="003E2526" w:rsidRPr="00923C59" w:rsidRDefault="003E2526" w:rsidP="00B23382">
            <w:pPr>
              <w:spacing w:before="20" w:after="20" w:line="276" w:lineRule="auto"/>
              <w:rPr>
                <w:rFonts w:ascii="Arial" w:hAnsi="Arial" w:cs="Arial"/>
              </w:rPr>
            </w:pPr>
            <w:r>
              <w:rPr>
                <w:rFonts w:ascii="Arial" w:eastAsia="Arial" w:hAnsi="Arial" w:cs="Arial"/>
              </w:rPr>
              <w:t>Sin impacto directo o impacto meramente informativo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69CCDC" w14:textId="77777777" w:rsidR="003E2526" w:rsidRPr="00923C59" w:rsidRDefault="003E2526" w:rsidP="00B23382">
            <w:pPr>
              <w:spacing w:before="20" w:after="20" w:line="276" w:lineRule="auto"/>
              <w:rPr>
                <w:rFonts w:ascii="Arial" w:hAnsi="Arial" w:cs="Arial"/>
              </w:rPr>
            </w:pPr>
            <w:r>
              <w:rPr>
                <w:rFonts w:ascii="Arial" w:eastAsia="Arial" w:hAnsi="Arial" w:cs="Arial"/>
              </w:rPr>
              <w:t>Impacto significativo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E4F016" w14:textId="77777777" w:rsidR="003E2526" w:rsidRPr="00923C59" w:rsidRDefault="003E2526" w:rsidP="00B23382">
            <w:pPr>
              <w:spacing w:before="20" w:after="20" w:line="276" w:lineRule="auto"/>
              <w:rPr>
                <w:rFonts w:ascii="Arial" w:hAnsi="Arial" w:cs="Arial"/>
              </w:rPr>
            </w:pPr>
            <w:r>
              <w:rPr>
                <w:rFonts w:ascii="Arial" w:eastAsia="Arial" w:hAnsi="Arial" w:cs="Arial"/>
              </w:rPr>
              <w:t>Vulneración grave de derechos fundamentales</w:t>
            </w:r>
          </w:p>
        </w:tc>
      </w:tr>
      <w:tr w:rsidR="003E2526" w:rsidRPr="00923C59" w14:paraId="3C34B4D2"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200498" w14:textId="77777777" w:rsidR="003E2526" w:rsidRPr="00923C59" w:rsidRDefault="003E2526" w:rsidP="00B23382">
            <w:pPr>
              <w:spacing w:before="20" w:after="20" w:line="276" w:lineRule="auto"/>
              <w:rPr>
                <w:rFonts w:ascii="Arial" w:hAnsi="Arial" w:cs="Arial"/>
              </w:rPr>
            </w:pPr>
            <w:r>
              <w:rPr>
                <w:rFonts w:ascii="Arial" w:eastAsia="Arial" w:hAnsi="Arial" w:cs="Arial"/>
                <w:b/>
                <w:bCs/>
              </w:rPr>
              <w:t>Autonomía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5CEEB1" w14:textId="77777777" w:rsidR="003E2526" w:rsidRPr="00923C59" w:rsidRDefault="003E2526" w:rsidP="00B23382">
            <w:pPr>
              <w:spacing w:before="20" w:after="20" w:line="276" w:lineRule="auto"/>
              <w:rPr>
                <w:rFonts w:ascii="Arial" w:hAnsi="Arial" w:cs="Arial"/>
              </w:rPr>
            </w:pPr>
            <w:r>
              <w:rPr>
                <w:rFonts w:ascii="Arial" w:eastAsia="Arial" w:hAnsi="Arial" w:cs="Arial"/>
              </w:rPr>
              <w:t>Asistencia al funcionario o interacción directa con el administrado, sin influencia en la decisión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DF457" w14:textId="77777777" w:rsidR="003E2526" w:rsidRPr="00923C59" w:rsidRDefault="003E2526" w:rsidP="00B23382">
            <w:pPr>
              <w:spacing w:before="20" w:after="20" w:line="276" w:lineRule="auto"/>
              <w:rPr>
                <w:rFonts w:ascii="Arial" w:hAnsi="Arial" w:cs="Arial"/>
              </w:rPr>
            </w:pPr>
            <w:r>
              <w:rPr>
                <w:rFonts w:ascii="Arial" w:eastAsia="Arial" w:hAnsi="Arial" w:cs="Arial"/>
              </w:rPr>
              <w:t>Influencia en decisiones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D360C9" w14:textId="77777777" w:rsidR="003E2526" w:rsidRPr="00923C59" w:rsidRDefault="003E2526" w:rsidP="00B23382">
            <w:pPr>
              <w:spacing w:before="20" w:after="20" w:line="276" w:lineRule="auto"/>
              <w:rPr>
                <w:rFonts w:ascii="Arial" w:hAnsi="Arial" w:cs="Arial"/>
              </w:rPr>
            </w:pPr>
            <w:r>
              <w:rPr>
                <w:rFonts w:ascii="Arial" w:eastAsia="Arial" w:hAnsi="Arial" w:cs="Arial"/>
              </w:rPr>
              <w:t>Decisión autónoma sin supervisión</w:t>
            </w:r>
          </w:p>
        </w:tc>
      </w:tr>
      <w:tr w:rsidR="003E2526" w:rsidRPr="00923C59" w14:paraId="22EE92AE"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099FCD" w14:textId="77777777" w:rsidR="003E2526" w:rsidRPr="00923C59" w:rsidRDefault="003E2526" w:rsidP="00B23382">
            <w:pPr>
              <w:spacing w:before="20" w:after="20" w:line="276" w:lineRule="auto"/>
              <w:rPr>
                <w:rFonts w:ascii="Arial" w:hAnsi="Arial" w:cs="Arial"/>
              </w:rPr>
            </w:pPr>
            <w:r>
              <w:rPr>
                <w:rFonts w:ascii="Arial" w:eastAsia="Arial" w:hAnsi="Arial" w:cs="Arial"/>
                <w:b/>
                <w:bCs/>
              </w:rPr>
              <w:t>Datos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444834" w14:textId="77777777" w:rsidR="003E2526" w:rsidRPr="00923C59" w:rsidRDefault="003E2526" w:rsidP="00B23382">
            <w:pPr>
              <w:spacing w:before="20" w:after="20" w:line="276" w:lineRule="auto"/>
              <w:rPr>
                <w:rFonts w:ascii="Arial" w:hAnsi="Arial" w:cs="Arial"/>
              </w:rPr>
            </w:pPr>
            <w:r>
              <w:rPr>
                <w:rFonts w:ascii="Arial" w:eastAsia="Arial" w:hAnsi="Arial" w:cs="Arial"/>
              </w:rPr>
              <w:t>Públicos, no sensibles o generales de interacción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92A65E" w14:textId="77777777" w:rsidR="003E2526" w:rsidRPr="00923C59" w:rsidRDefault="003E2526" w:rsidP="00B23382">
            <w:pPr>
              <w:spacing w:before="20" w:after="20" w:line="276" w:lineRule="auto"/>
              <w:rPr>
                <w:rFonts w:ascii="Arial" w:hAnsi="Arial" w:cs="Arial"/>
              </w:rPr>
            </w:pPr>
            <w:r>
              <w:rPr>
                <w:rFonts w:ascii="Arial" w:eastAsia="Arial" w:hAnsi="Arial" w:cs="Arial"/>
              </w:rPr>
              <w:t>Personales, reserva tributaria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0535D2" w14:textId="77777777" w:rsidR="003E2526" w:rsidRPr="00923C59" w:rsidRDefault="003E2526" w:rsidP="00B23382">
            <w:pPr>
              <w:spacing w:before="20" w:after="20" w:line="276" w:lineRule="auto"/>
              <w:rPr>
                <w:rFonts w:ascii="Arial" w:hAnsi="Arial" w:cs="Arial"/>
              </w:rPr>
            </w:pPr>
            <w:r>
              <w:rPr>
                <w:rFonts w:ascii="Arial" w:eastAsia="Arial" w:hAnsi="Arial" w:cs="Arial"/>
              </w:rPr>
              <w:t>Biométricos para inferir condiciones protegidas</w:t>
            </w:r>
          </w:p>
        </w:tc>
      </w:tr>
      <w:tr w:rsidR="003E2526" w:rsidRPr="00923C59" w14:paraId="174ED51F"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7DEB70" w14:textId="77777777" w:rsidR="003E2526" w:rsidRPr="00923C59" w:rsidRDefault="003E2526" w:rsidP="00B23382">
            <w:pPr>
              <w:spacing w:before="20" w:after="20" w:line="276" w:lineRule="auto"/>
              <w:rPr>
                <w:rFonts w:ascii="Arial" w:hAnsi="Arial" w:cs="Arial"/>
              </w:rPr>
            </w:pPr>
            <w:r>
              <w:rPr>
                <w:rFonts w:ascii="Arial" w:eastAsia="Arial" w:hAnsi="Arial" w:cs="Arial"/>
                <w:b/>
                <w:bCs/>
              </w:rPr>
              <w:t>Reversibilidad</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BDF371" w14:textId="77777777" w:rsidR="003E2526" w:rsidRPr="00923C59" w:rsidRDefault="003E2526" w:rsidP="00B23382">
            <w:pPr>
              <w:spacing w:before="20" w:after="20" w:line="276" w:lineRule="auto"/>
              <w:rPr>
                <w:rFonts w:ascii="Arial" w:hAnsi="Arial" w:cs="Arial"/>
              </w:rPr>
            </w:pPr>
            <w:r>
              <w:rPr>
                <w:rFonts w:ascii="Arial" w:eastAsia="Arial" w:hAnsi="Arial" w:cs="Arial"/>
              </w:rPr>
              <w:t>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310208" w14:textId="77777777" w:rsidR="003E2526" w:rsidRPr="00923C59" w:rsidRDefault="003E2526" w:rsidP="00B23382">
            <w:pPr>
              <w:spacing w:before="20" w:after="20" w:line="276" w:lineRule="auto"/>
              <w:rPr>
                <w:rFonts w:ascii="Arial" w:hAnsi="Arial" w:cs="Arial"/>
              </w:rPr>
            </w:pPr>
            <w:r>
              <w:rPr>
                <w:rFonts w:ascii="Arial" w:eastAsia="Arial" w:hAnsi="Arial" w:cs="Arial"/>
              </w:rPr>
              <w:t>Difícilmente 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27A76E" w14:textId="77777777" w:rsidR="003E2526" w:rsidRPr="00923C59" w:rsidRDefault="003E2526" w:rsidP="00B23382">
            <w:pPr>
              <w:spacing w:before="20" w:after="20" w:line="276" w:lineRule="auto"/>
              <w:rPr>
                <w:rFonts w:ascii="Arial" w:hAnsi="Arial" w:cs="Arial"/>
              </w:rPr>
            </w:pPr>
            <w:r>
              <w:rPr>
                <w:rFonts w:ascii="Arial" w:eastAsia="Arial" w:hAnsi="Arial" w:cs="Arial"/>
              </w:rPr>
              <w:t>Irreversible o daño grave</w:t>
            </w:r>
          </w:p>
        </w:tc>
      </w:tr>
      <w:tr w:rsidR="003E2526" w:rsidRPr="00923C59" w14:paraId="2D8CC035"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52B58B" w14:textId="77777777" w:rsidR="003E2526" w:rsidRPr="00923C59" w:rsidRDefault="003E2526" w:rsidP="00B23382">
            <w:pPr>
              <w:spacing w:before="20" w:after="20" w:line="276" w:lineRule="auto"/>
              <w:rPr>
                <w:rFonts w:ascii="Arial" w:hAnsi="Arial" w:cs="Arial"/>
              </w:rPr>
            </w:pPr>
            <w:r>
              <w:rPr>
                <w:rFonts w:ascii="Arial" w:eastAsia="Arial" w:hAnsi="Arial" w:cs="Arial"/>
                <w:b/>
                <w:bCs/>
              </w:rPr>
              <w:t>Escala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0B6092" w14:textId="77777777" w:rsidR="003E2526" w:rsidRPr="00923C59" w:rsidRDefault="003E2526" w:rsidP="00B23382">
            <w:pPr>
              <w:spacing w:before="20" w:after="20" w:line="276" w:lineRule="auto"/>
              <w:rPr>
                <w:rFonts w:ascii="Arial" w:hAnsi="Arial" w:cs="Arial"/>
              </w:rPr>
            </w:pPr>
            <w:r>
              <w:rPr>
                <w:rFonts w:ascii="Arial" w:eastAsia="Arial" w:hAnsi="Arial" w:cs="Arial"/>
              </w:rPr>
              <w:t>Individual</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84C164" w14:textId="77777777" w:rsidR="003E2526" w:rsidRPr="00923C59" w:rsidRDefault="003E2526" w:rsidP="00B23382">
            <w:pPr>
              <w:spacing w:before="20" w:after="20" w:line="276" w:lineRule="auto"/>
              <w:rPr>
                <w:rFonts w:ascii="Arial" w:hAnsi="Arial" w:cs="Arial"/>
              </w:rPr>
            </w:pPr>
            <w:r>
              <w:rPr>
                <w:rFonts w:ascii="Arial" w:eastAsia="Arial" w:hAnsi="Arial" w:cs="Arial"/>
              </w:rPr>
              <w:t>Colectivo o masivo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FBF904" w14:textId="77777777" w:rsidR="003E2526" w:rsidRPr="00923C59" w:rsidRDefault="003E2526" w:rsidP="00B23382">
            <w:pPr>
              <w:spacing w:before="20" w:after="20" w:line="276" w:lineRule="auto"/>
              <w:rPr>
                <w:rFonts w:ascii="Arial" w:hAnsi="Arial" w:cs="Arial"/>
              </w:rPr>
            </w:pPr>
            <w:r>
              <w:rPr>
                <w:rFonts w:ascii="Arial" w:eastAsia="Arial" w:hAnsi="Arial" w:cs="Arial"/>
              </w:rPr>
              <w:t>Poblaciones completas o grupos vulnerables</w:t>
            </w:r>
          </w:p>
        </w:tc>
      </w:tr>
    </w:tbl>
    <w:p w14:paraId="0BB67C1C" w14:textId="77777777" w:rsidR="00863A18" w:rsidRPr="00923C59" w:rsidRDefault="00863A18" w:rsidP="00B23382">
      <w:pPr>
        <w:spacing w:line="276" w:lineRule="auto"/>
        <w:rPr>
          <w:rFonts w:ascii="Arial" w:hAnsi="Arial" w:cs="Arial"/>
        </w:rPr>
      </w:pPr>
      <w:r>
        <w:rPr>
          <w:rFonts w:ascii="Arial" w:hAnsi="Arial" w:cs="Arial"/>
        </w:rPr>
        <w:br w:type="page"/>
      </w:r>
    </w:p>
    <w:p w14:paraId="72C40341" w14:textId="77777777" w:rsidR="00641EAF" w:rsidRDefault="00641EAF">
      <w:pPr>
        <w:spacing w:after="60" w:line="276" w:lineRule="auto"/>
        <w:jc w:val="both"/>
        <w:rPr>
          <w:rFonts w:ascii="Arial" w:eastAsia="Arial" w:hAnsi="Arial" w:cs="Arial"/>
          <w:b/>
          <w:bCs/>
          <w:color w:val="000000"/>
        </w:rPr>
      </w:pPr>
      <w:r>
        <w:rPr>
          <w:rFonts w:ascii="Arial" w:eastAsia="Arial" w:hAnsi="Arial" w:cs="Arial"/>
          <w:b/>
          <w:bCs/>
          <w:color w:val="000000"/>
        </w:rPr>
        <w:lastRenderedPageBreak/>
        <w:t>Anexo N.° 3: Estructura mínima de la Evaluación de Impacto Algorítmico (EIA)</w:t>
      </w:r>
    </w:p>
    <w:p w14:paraId="64BDC09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5E920A9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23AD235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44327ED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60384EE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6B37BD1F"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545F39D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Impacto en los derechos fundamentales: derechos que el SBIA puede afectar, personas o grupos alcanzados y gravedad del efecto, conforme al numeral 30.1 del artículo 30 del RLIA.</w:t>
      </w:r>
    </w:p>
    <w:p w14:paraId="643B807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9BC436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2671942A"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6E4DE46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D3F1DE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RLIA, protección de datos personales y reserva tributaria.</w:t>
      </w:r>
    </w:p>
    <w:p w14:paraId="396AF77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57A4742F" w14:textId="77777777" w:rsidR="00EC21E7" w:rsidRPr="00EC21E7" w:rsidRDefault="00863A18" w:rsidP="00B23382">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5B0A14C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Versión de la EIA y fecha de su elaboración o actualización, conforme a los numerales 6.4.3 y 6.10.5.</w:t>
      </w:r>
    </w:p>
    <w:p w14:paraId="2CCAF63F" w14:textId="77777777" w:rsidR="00863A18" w:rsidRPr="00EC21E7" w:rsidRDefault="00EC79A5" w:rsidP="00B23382">
      <w:pPr>
        <w:pStyle w:val="Prrafodelista"/>
        <w:numPr>
          <w:ilvl w:val="0"/>
          <w:numId w:val="7"/>
        </w:numPr>
        <w:spacing w:after="40" w:line="276" w:lineRule="auto"/>
        <w:ind w:left="567"/>
        <w:rPr>
          <w:b w:val="0"/>
          <w:bCs w:val="0"/>
        </w:rPr>
      </w:pPr>
      <w:r>
        <w:rPr>
          <w:b w:val="0"/>
          <w:bCs w:val="0"/>
          <w:color w:val="000000"/>
          <w:highlight w:val="green"/>
        </w:rPr>
        <w:t>Revisiones y aprobación: firma del propietario del caso de uso en señal de elaboración; firmas de la Comisión de Gobierno de IA, de la OII, de la INALI, esta última en materia de cumplimiento normativo, y del OGD, en señal de revisión conforme al numeral 6.4.2; referencia a la opinión de la Intendencia Nacional Jurídico Tributaria o de la Intendencia Nacional Jurídico Aduanera cuando se hubiera convocado conforme al numeral 6.4.2; y referencia al acuerdo del CGTD que aprueba la EIA, conforme al numeral 6.4.1.</w:t>
      </w:r>
      <w:r>
        <w:rPr>
          <w:b w:val="0"/>
          <w:bCs w:val="0"/>
        </w:rPr>
        <w:br w:type="page"/>
      </w:r>
    </w:p>
    <w:p w14:paraId="0155A954" w14:textId="77777777" w:rsidR="00863A18" w:rsidRDefault="00863A18" w:rsidP="00B23382">
      <w:pPr>
        <w:spacing w:before="200" w:after="120" w:line="276" w:lineRule="auto"/>
        <w:rPr>
          <w:rFonts w:ascii="Arial" w:eastAsia="Arial" w:hAnsi="Arial" w:cs="Arial"/>
          <w:b/>
          <w:bCs/>
          <w:color w:val="000000"/>
        </w:rPr>
      </w:pPr>
      <w:r>
        <w:rPr>
          <w:rFonts w:ascii="Arial" w:eastAsia="Arial" w:hAnsi="Arial" w:cs="Arial"/>
          <w:b/>
          <w:bCs/>
          <w:color w:val="000000"/>
          <w:highlight w:val="green"/>
        </w:rPr>
        <w:lastRenderedPageBreak/>
        <w:t>Anexo N.° 4: Ficha de Evaluación de Caso de Uso de SBIA</w:t>
      </w:r>
    </w:p>
    <w:p w14:paraId="4E4DB835" w14:textId="77777777" w:rsidR="00174519" w:rsidRPr="00923C59" w:rsidRDefault="00174519" w:rsidP="00174519">
      <w:pPr>
        <w:spacing w:before="200" w:after="120" w:line="276" w:lineRule="auto"/>
        <w:jc w:val="both"/>
        <w:rPr>
          <w:rFonts w:ascii="Arial" w:hAnsi="Arial" w:cs="Arial"/>
        </w:rPr>
      </w:pPr>
      <w:r>
        <w:rPr>
          <w:rFonts w:ascii="Arial" w:hAnsi="Arial" w:cs="Arial"/>
          <w:highlight w:val="green"/>
        </w:rPr>
        <w:t>Constituye el contenido mínimo de la evaluación del caso de uso y recoge los datos y las evidencias del problema que sustentan la iniciativa, conforme al numeral 28.4 del artículo 28 del RLIA. Se adecúa a la naturaleza y magnitud de la iniciativa, requerimiento o proyecto, conforme al numeral 6.15.1. Se actualiza conforme al numeral 7.9. Los campos cuya información ya figura en el caso de negocio, en la ficha de necesidad de la gestión de demanda informática o en otro instrumento previo se completan indicando el documento y la sección donde consta. No se transcribe información ya contenida en dichas fuentes. Los controles aplicables al SBIA se determinan a partir de su clasificación de riesgo y se registran en la Ficha de Registro de SBIA (Anexo N.° 1); no forman parte de esta ficha.</w:t>
      </w:r>
    </w:p>
    <w:p w14:paraId="16A0A80B" w14:textId="77777777" w:rsidR="00863A18" w:rsidRPr="00EF2B54" w:rsidRDefault="00863A18" w:rsidP="00B23382">
      <w:pPr>
        <w:spacing w:after="40" w:line="276" w:lineRule="auto"/>
        <w:jc w:val="both"/>
        <w:rPr>
          <w:rFonts w:ascii="Arial" w:hAnsi="Arial" w:cs="Arial"/>
          <w:highlight w:val="green"/>
        </w:rPr>
      </w:pPr>
      <w:r>
        <w:rPr>
          <w:rFonts w:ascii="Arial" w:eastAsia="Arial" w:hAnsi="Arial" w:cs="Arial"/>
          <w:b/>
          <w:bCs/>
          <w:color w:val="000000"/>
          <w:highlight w:val="green"/>
        </w:rPr>
        <w:t>Sección 1 — Identificación:</w:t>
      </w:r>
    </w:p>
    <w:p w14:paraId="2C5B6452"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Denominación del caso de uso.</w:t>
      </w:r>
    </w:p>
    <w:p w14:paraId="49246BB7"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solicitante (propietario del caso de uso) y responsable funcional.</w:t>
      </w:r>
    </w:p>
    <w:p w14:paraId="154521B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responsable de la operación y del monitoreo posteriores al</w:t>
      </w:r>
    </w:p>
    <w:p w14:paraId="182B92AC"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despliegue.</w:t>
      </w:r>
    </w:p>
    <w:p w14:paraId="5AA689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Instrumento de gestión bajo el cual se formula la iniciativa y documento al que se remite</w:t>
      </w:r>
    </w:p>
    <w:p w14:paraId="41F5FC78"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la información no consignada en esta ficha.</w:t>
      </w:r>
    </w:p>
    <w:p w14:paraId="14E362EF"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Fecha de presentación.</w:t>
      </w:r>
    </w:p>
    <w:p w14:paraId="72572E68" w14:textId="77777777" w:rsidR="00863A18" w:rsidRPr="000F3595" w:rsidRDefault="00863A18"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Sección 2 — Necesidad y pertinencia del uso de IA:</w:t>
      </w:r>
    </w:p>
    <w:p w14:paraId="159C45D8" w14:textId="77777777" w:rsidR="0037497B" w:rsidRPr="0037497B" w:rsidRDefault="0037497B"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Descripción sintética del problema o necesidad, con los datos y evidencias que lo sustentan, o remisión al documento y sección donde constan. Cuando no se cuente con datos o evidencias suficientes, se consigna expresamente y se indica cómo se obtendrán antes del inicio del desarrollo o adquisición.</w:t>
      </w:r>
    </w:p>
    <w:p w14:paraId="27301EE6"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Alternativa sin inteligencia artificial: describir la solución basada en reglas, automatización o análisis convencional que se evaluó, y por qué no satisface la necesidad.</w:t>
      </w:r>
    </w:p>
    <w:p w14:paraId="7C1E369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Mejora esperada del uso de IA frente a esa alternativa, expresada en un indicador medible.</w:t>
      </w:r>
    </w:p>
    <w:p w14:paraId="2E2050C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Disponibilidad y suficiencia de los datos requeridos para el aprendizaje o la inferencia.</w:t>
      </w:r>
    </w:p>
    <w:p w14:paraId="28C80F74"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Costo de gobernanza previsto (monitoreo, reentrenamiento, supervisión humana y evaluación periódica) y por qué la mejora esperada lo justifica.</w:t>
      </w:r>
    </w:p>
    <w:p w14:paraId="1E05A637"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En qué caso el componente de IA dejaría de ser necesario.</w:t>
      </w:r>
    </w:p>
    <w:p w14:paraId="59C653FC" w14:textId="77777777" w:rsidR="00EF2B54" w:rsidRDefault="00000000" w:rsidP="00EF2B54">
      <w:pPr>
        <w:spacing w:before="120" w:after="40" w:line="276" w:lineRule="auto"/>
        <w:jc w:val="both"/>
        <w:rPr>
          <w:rFonts w:ascii="Arial" w:eastAsia="Arial" w:hAnsi="Arial" w:cs="Arial"/>
          <w:b/>
          <w:bCs/>
          <w:color w:val="000000"/>
        </w:rPr>
      </w:pPr>
      <w:r>
        <w:rPr>
          <w:rFonts w:ascii="Arial" w:eastAsia="Arial" w:hAnsi="Arial" w:cs="Arial"/>
          <w:b/>
          <w:bCs/>
          <w:color w:val="000000"/>
          <w:highlight w:val="green"/>
        </w:rPr>
        <w:t>Sección 3 — Descripción funcional y autonomía:</w:t>
      </w:r>
    </w:p>
    <w:p w14:paraId="2890D9BE"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Descripción de lo que el SBIA hace y del resultado que produce.</w:t>
      </w:r>
    </w:p>
    <w:p w14:paraId="57FE16C7"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Tipo de IA previsto.</w:t>
      </w:r>
    </w:p>
    <w:p w14:paraId="49BCB871"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Grado de autonomía previsto: asistencia al funcionario, interacción directa con el</w:t>
      </w:r>
    </w:p>
    <w:p w14:paraId="67FCB352"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administrado, influencia en la decisión o decisión sin intervención humana.</w:t>
      </w:r>
    </w:p>
    <w:p w14:paraId="64783CAF" w14:textId="77777777" w:rsid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Punto del proceso en que interviene el SBIA y momento en que un funcionario conoce su resultado.</w:t>
      </w:r>
    </w:p>
    <w:p w14:paraId="438CE5F0" w14:textId="77777777" w:rsidR="00E41A15" w:rsidRDefault="00E41A15" w:rsidP="00E41A15">
      <w:pPr>
        <w:spacing w:before="120" w:after="40" w:line="276" w:lineRule="auto"/>
        <w:rPr>
          <w:color w:val="000000"/>
          <w:highlight w:val="green"/>
        </w:rPr>
      </w:pPr>
    </w:p>
    <w:p w14:paraId="5C0EFD84" w14:textId="77777777" w:rsidR="00E41A15" w:rsidRPr="00E41A15" w:rsidRDefault="00E41A15" w:rsidP="00E41A15">
      <w:pPr>
        <w:spacing w:before="120" w:after="40" w:line="276" w:lineRule="auto"/>
        <w:rPr>
          <w:color w:val="000000"/>
          <w:highlight w:val="green"/>
        </w:rPr>
      </w:pPr>
    </w:p>
    <w:p w14:paraId="73BCF4FD" w14:textId="77777777" w:rsidR="0018147B" w:rsidRDefault="00000000" w:rsidP="00EF2B54">
      <w:pPr>
        <w:spacing w:before="120" w:after="40" w:line="276" w:lineRule="auto"/>
        <w:jc w:val="both"/>
        <w:rPr>
          <w:rFonts w:ascii="Arial" w:hAnsi="Arial" w:cs="Arial"/>
        </w:rPr>
      </w:pPr>
      <w:r>
        <w:rPr>
          <w:rFonts w:ascii="Arial" w:eastAsia="Arial" w:hAnsi="Arial" w:cs="Arial"/>
          <w:b/>
          <w:bCs/>
          <w:color w:val="000000"/>
          <w:highlight w:val="green"/>
        </w:rPr>
        <w:lastRenderedPageBreak/>
        <w:t>Sección 4 — Datos:</w:t>
      </w:r>
    </w:p>
    <w:p w14:paraId="330F91EF"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Datos requeridos: fuentes, tipos y presencia de datos personales, de datos sensibles, de datos biométricos o de información sujeta a reserva tributaria.</w:t>
      </w:r>
    </w:p>
    <w:p w14:paraId="775E59C2"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Base legal que habilita el uso de dichos datos para la finalidad del SBIA, conforme al</w:t>
      </w:r>
    </w:p>
    <w:p w14:paraId="79A662CE" w14:textId="77777777" w:rsidR="000F3595" w:rsidRPr="00CA521D" w:rsidRDefault="00CA521D" w:rsidP="00CA521D">
      <w:pPr>
        <w:pStyle w:val="Prrafodelista"/>
        <w:spacing w:before="120" w:after="40" w:line="276" w:lineRule="auto"/>
        <w:ind w:left="426" w:firstLine="0"/>
        <w:rPr>
          <w:b w:val="0"/>
          <w:bCs w:val="0"/>
          <w:color w:val="000000"/>
          <w:highlight w:val="green"/>
        </w:rPr>
      </w:pPr>
      <w:r>
        <w:rPr>
          <w:b w:val="0"/>
          <w:bCs w:val="0"/>
          <w:color w:val="000000"/>
          <w:highlight w:val="green"/>
        </w:rPr>
        <w:t>numeral 6.8.3 de la presente directiva, y restricciones aplicables.</w:t>
      </w:r>
    </w:p>
    <w:p w14:paraId="7F29786F" w14:textId="77777777" w:rsidR="0018147B" w:rsidRPr="00DE4308" w:rsidRDefault="00000000"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Sección 5 — Efecto sobre las personas y los procesos:</w:t>
      </w:r>
    </w:p>
    <w:p w14:paraId="74FE4769"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Efecto del resultado del SBIA en derechos, obligaciones o en la atención de los administrados.</w:t>
      </w:r>
    </w:p>
    <w:p w14:paraId="5A06888B"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Alcance estimado: personas, contribuyentes u operaciones comprendidas, y volumen previsto.</w:t>
      </w:r>
    </w:p>
    <w:p w14:paraId="47B13102"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Posibilidad de revertir o corregir un resultado erróneo, y cómo se haría.</w:t>
      </w:r>
    </w:p>
    <w:p w14:paraId="73B204DF"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Procesos, unidades de organización y puestos involucrados.</w:t>
      </w:r>
    </w:p>
    <w:p w14:paraId="0F71D57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Clasificación de riesgo preliminar sugerida por el propietario del caso de uso conforme al Anexo N.° 2. Es referencial y no vincula a la Comisión de Gobierno de IA.</w:t>
      </w:r>
    </w:p>
    <w:p w14:paraId="1D17638B" w14:textId="77777777" w:rsidR="0018147B" w:rsidRPr="00DE4308" w:rsidRDefault="00000000">
      <w:pPr>
        <w:spacing w:before="120" w:after="40" w:line="276" w:lineRule="auto"/>
        <w:jc w:val="both"/>
        <w:rPr>
          <w:rFonts w:ascii="Arial" w:hAnsi="Arial" w:cs="Arial"/>
          <w:highlight w:val="green"/>
        </w:rPr>
      </w:pPr>
      <w:r>
        <w:rPr>
          <w:rFonts w:ascii="Arial" w:eastAsia="Arial" w:hAnsi="Arial" w:cs="Arial"/>
          <w:b/>
          <w:bCs/>
          <w:color w:val="000000"/>
          <w:highlight w:val="green"/>
        </w:rPr>
        <w:t>Sección 6 — Firmas:</w:t>
      </w:r>
    </w:p>
    <w:p w14:paraId="25528425" w14:textId="77777777" w:rsidR="00CA74AD" w:rsidRPr="00CA74AD" w:rsidRDefault="00863A18" w:rsidP="00CA74AD">
      <w:pPr>
        <w:pStyle w:val="Prrafodelista"/>
        <w:numPr>
          <w:ilvl w:val="0"/>
          <w:numId w:val="36"/>
        </w:numPr>
        <w:spacing w:after="40" w:line="276" w:lineRule="auto"/>
        <w:ind w:left="426"/>
        <w:rPr>
          <w:b w:val="0"/>
          <w:bCs w:val="0"/>
          <w:highlight w:val="green"/>
        </w:rPr>
      </w:pPr>
      <w:r>
        <w:rPr>
          <w:b w:val="0"/>
          <w:bCs w:val="0"/>
          <w:color w:val="000000"/>
          <w:highlight w:val="green"/>
        </w:rPr>
        <w:t>Firma del propietario del caso de uso.</w:t>
      </w:r>
    </w:p>
    <w:p w14:paraId="69A43F34" w14:textId="77777777" w:rsidR="00ED2DC8" w:rsidRPr="0037497B" w:rsidRDefault="00CA74AD" w:rsidP="00CA74AD">
      <w:pPr>
        <w:pStyle w:val="Prrafodelista"/>
        <w:numPr>
          <w:ilvl w:val="0"/>
          <w:numId w:val="36"/>
        </w:numPr>
        <w:spacing w:after="40" w:line="276" w:lineRule="auto"/>
        <w:ind w:left="426"/>
        <w:rPr>
          <w:b w:val="0"/>
          <w:bCs w:val="0"/>
          <w:highlight w:val="green"/>
        </w:rPr>
      </w:pPr>
      <w:r>
        <w:rPr>
          <w:b w:val="0"/>
          <w:bCs w:val="0"/>
          <w:color w:val="000000"/>
          <w:highlight w:val="green"/>
        </w:rPr>
        <w:t>Visto bueno del titular de la unidad de organización solicitante.</w:t>
      </w:r>
    </w:p>
    <w:p w14:paraId="5D199DD5" w14:textId="77777777" w:rsidR="0037497B" w:rsidRPr="00CA74AD" w:rsidRDefault="0037497B" w:rsidP="00CA74AD">
      <w:pPr>
        <w:pStyle w:val="Prrafodelista"/>
        <w:numPr>
          <w:ilvl w:val="0"/>
          <w:numId w:val="36"/>
        </w:numPr>
        <w:spacing w:after="40" w:line="276" w:lineRule="auto"/>
        <w:ind w:left="426"/>
        <w:rPr>
          <w:b w:val="0"/>
          <w:bCs w:val="0"/>
          <w:highlight w:val="green"/>
        </w:rPr>
      </w:pPr>
      <w:r>
        <w:rPr>
          <w:b w:val="0"/>
          <w:bCs w:val="0"/>
          <w:highlight w:val="green"/>
        </w:rPr>
        <w:t>Constancia del pronunciamiento de la Comisión de Gobierno de IA conforme al numeral 6.15.1, con indicación de la sesión y del acta en que se adoptó.</w:t>
      </w:r>
    </w:p>
    <w:sectPr w:rsidR="0037497B" w:rsidRPr="00CA74AD"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1B3E2" w14:textId="77777777" w:rsidR="00872F54" w:rsidRDefault="00872F54">
      <w:pPr>
        <w:spacing w:after="0" w:line="240" w:lineRule="auto"/>
      </w:pPr>
      <w:r>
        <w:separator/>
      </w:r>
    </w:p>
  </w:endnote>
  <w:endnote w:type="continuationSeparator" w:id="0">
    <w:p w14:paraId="34327E13" w14:textId="77777777" w:rsidR="00872F54" w:rsidRDefault="00872F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387CF"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AFA7C8" w14:textId="77777777" w:rsidR="00872F54" w:rsidRDefault="00872F54">
      <w:pPr>
        <w:spacing w:after="0" w:line="240" w:lineRule="auto"/>
      </w:pPr>
      <w:r>
        <w:separator/>
      </w:r>
    </w:p>
  </w:footnote>
  <w:footnote w:type="continuationSeparator" w:id="0">
    <w:p w14:paraId="4FC3D835" w14:textId="77777777" w:rsidR="00872F54" w:rsidRDefault="00872F54">
      <w:pPr>
        <w:spacing w:after="0" w:line="240" w:lineRule="auto"/>
      </w:pPr>
      <w:r>
        <w:continuationSeparator/>
      </w:r>
    </w:p>
  </w:footnote>
  <w:footnote w:id="1">
    <w:p w14:paraId="7B7C9986"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2">
    <w:p w14:paraId="761AA10A"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3">
    <w:p w14:paraId="76A0E41B"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4">
    <w:p w14:paraId="155BDA2B"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5">
    <w:p w14:paraId="7FCD6EE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6">
    <w:p w14:paraId="072542A2"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7">
    <w:p w14:paraId="3B79EDBC"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8">
    <w:p w14:paraId="4FA21791"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9">
    <w:p w14:paraId="186F0074"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0">
    <w:p w14:paraId="75710F65"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1">
    <w:p w14:paraId="0D688ACF"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2">
    <w:p w14:paraId="7EA1D713"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18CA3765" w14:textId="77777777" w:rsidTr="00BE16A3">
      <w:trPr>
        <w:trHeight w:val="474"/>
        <w:jc w:val="right"/>
      </w:trPr>
      <w:tc>
        <w:tcPr>
          <w:tcW w:w="4492" w:type="pct"/>
          <w:tcBorders>
            <w:right w:val="single" w:sz="6" w:space="0" w:color="000000"/>
          </w:tcBorders>
        </w:tcPr>
        <w:p w14:paraId="0DB6E896"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3D058B9F"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0BBCEFF"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16043A28"/>
    <w:multiLevelType w:val="hybridMultilevel"/>
    <w:tmpl w:val="BF98B002"/>
    <w:lvl w:ilvl="0" w:tplc="280A0001">
      <w:start w:val="1"/>
      <w:numFmt w:val="bullet"/>
      <w:lvlText w:val=""/>
      <w:lvlJc w:val="left"/>
      <w:pPr>
        <w:ind w:left="1996" w:hanging="360"/>
      </w:pPr>
      <w:rPr>
        <w:rFonts w:ascii="Symbol" w:hAnsi="Symbol" w:hint="default"/>
      </w:rPr>
    </w:lvl>
    <w:lvl w:ilvl="1" w:tplc="280A0003" w:tentative="1">
      <w:start w:val="1"/>
      <w:numFmt w:val="bullet"/>
      <w:lvlText w:val="o"/>
      <w:lvlJc w:val="left"/>
      <w:pPr>
        <w:ind w:left="2716" w:hanging="360"/>
      </w:pPr>
      <w:rPr>
        <w:rFonts w:ascii="Courier New" w:hAnsi="Courier New" w:cs="Courier New" w:hint="default"/>
      </w:rPr>
    </w:lvl>
    <w:lvl w:ilvl="2" w:tplc="280A0005" w:tentative="1">
      <w:start w:val="1"/>
      <w:numFmt w:val="bullet"/>
      <w:lvlText w:val=""/>
      <w:lvlJc w:val="left"/>
      <w:pPr>
        <w:ind w:left="3436" w:hanging="360"/>
      </w:pPr>
      <w:rPr>
        <w:rFonts w:ascii="Wingdings" w:hAnsi="Wingdings" w:hint="default"/>
      </w:rPr>
    </w:lvl>
    <w:lvl w:ilvl="3" w:tplc="280A0001" w:tentative="1">
      <w:start w:val="1"/>
      <w:numFmt w:val="bullet"/>
      <w:lvlText w:val=""/>
      <w:lvlJc w:val="left"/>
      <w:pPr>
        <w:ind w:left="4156" w:hanging="360"/>
      </w:pPr>
      <w:rPr>
        <w:rFonts w:ascii="Symbol" w:hAnsi="Symbol" w:hint="default"/>
      </w:rPr>
    </w:lvl>
    <w:lvl w:ilvl="4" w:tplc="280A0003" w:tentative="1">
      <w:start w:val="1"/>
      <w:numFmt w:val="bullet"/>
      <w:lvlText w:val="o"/>
      <w:lvlJc w:val="left"/>
      <w:pPr>
        <w:ind w:left="4876" w:hanging="360"/>
      </w:pPr>
      <w:rPr>
        <w:rFonts w:ascii="Courier New" w:hAnsi="Courier New" w:cs="Courier New" w:hint="default"/>
      </w:rPr>
    </w:lvl>
    <w:lvl w:ilvl="5" w:tplc="280A0005" w:tentative="1">
      <w:start w:val="1"/>
      <w:numFmt w:val="bullet"/>
      <w:lvlText w:val=""/>
      <w:lvlJc w:val="left"/>
      <w:pPr>
        <w:ind w:left="5596" w:hanging="360"/>
      </w:pPr>
      <w:rPr>
        <w:rFonts w:ascii="Wingdings" w:hAnsi="Wingdings" w:hint="default"/>
      </w:rPr>
    </w:lvl>
    <w:lvl w:ilvl="6" w:tplc="280A0001" w:tentative="1">
      <w:start w:val="1"/>
      <w:numFmt w:val="bullet"/>
      <w:lvlText w:val=""/>
      <w:lvlJc w:val="left"/>
      <w:pPr>
        <w:ind w:left="6316" w:hanging="360"/>
      </w:pPr>
      <w:rPr>
        <w:rFonts w:ascii="Symbol" w:hAnsi="Symbol" w:hint="default"/>
      </w:rPr>
    </w:lvl>
    <w:lvl w:ilvl="7" w:tplc="280A0003" w:tentative="1">
      <w:start w:val="1"/>
      <w:numFmt w:val="bullet"/>
      <w:lvlText w:val="o"/>
      <w:lvlJc w:val="left"/>
      <w:pPr>
        <w:ind w:left="7036" w:hanging="360"/>
      </w:pPr>
      <w:rPr>
        <w:rFonts w:ascii="Courier New" w:hAnsi="Courier New" w:cs="Courier New" w:hint="default"/>
      </w:rPr>
    </w:lvl>
    <w:lvl w:ilvl="8" w:tplc="280A0005" w:tentative="1">
      <w:start w:val="1"/>
      <w:numFmt w:val="bullet"/>
      <w:lvlText w:val=""/>
      <w:lvlJc w:val="left"/>
      <w:pPr>
        <w:ind w:left="7756" w:hanging="360"/>
      </w:pPr>
      <w:rPr>
        <w:rFonts w:ascii="Wingdings" w:hAnsi="Wingdings" w:hint="default"/>
      </w:rPr>
    </w:lvl>
  </w:abstractNum>
  <w:abstractNum w:abstractNumId="7"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1"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4"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8"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2"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5"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4"/>
  </w:num>
  <w:num w:numId="2" w16cid:durableId="1298561635">
    <w:abstractNumId w:val="4"/>
  </w:num>
  <w:num w:numId="3" w16cid:durableId="818888625">
    <w:abstractNumId w:val="18"/>
  </w:num>
  <w:num w:numId="4" w16cid:durableId="789980796">
    <w:abstractNumId w:val="19"/>
  </w:num>
  <w:num w:numId="5" w16cid:durableId="2135756204">
    <w:abstractNumId w:val="9"/>
  </w:num>
  <w:num w:numId="6" w16cid:durableId="1603613276">
    <w:abstractNumId w:val="13"/>
  </w:num>
  <w:num w:numId="7" w16cid:durableId="1698236715">
    <w:abstractNumId w:val="34"/>
  </w:num>
  <w:num w:numId="8" w16cid:durableId="1567180075">
    <w:abstractNumId w:val="36"/>
  </w:num>
  <w:num w:numId="9" w16cid:durableId="260988981">
    <w:abstractNumId w:val="28"/>
  </w:num>
  <w:num w:numId="10" w16cid:durableId="360321617">
    <w:abstractNumId w:val="21"/>
  </w:num>
  <w:num w:numId="11" w16cid:durableId="11301047">
    <w:abstractNumId w:val="27"/>
  </w:num>
  <w:num w:numId="12" w16cid:durableId="104814016">
    <w:abstractNumId w:val="31"/>
  </w:num>
  <w:num w:numId="13" w16cid:durableId="1885175596">
    <w:abstractNumId w:val="0"/>
  </w:num>
  <w:num w:numId="14" w16cid:durableId="167066823">
    <w:abstractNumId w:val="32"/>
  </w:num>
  <w:num w:numId="15" w16cid:durableId="954553902">
    <w:abstractNumId w:val="29"/>
  </w:num>
  <w:num w:numId="16" w16cid:durableId="1324506319">
    <w:abstractNumId w:val="16"/>
  </w:num>
  <w:num w:numId="17" w16cid:durableId="1839225738">
    <w:abstractNumId w:val="35"/>
  </w:num>
  <w:num w:numId="18" w16cid:durableId="267396013">
    <w:abstractNumId w:val="22"/>
  </w:num>
  <w:num w:numId="19" w16cid:durableId="1228301004">
    <w:abstractNumId w:val="25"/>
  </w:num>
  <w:num w:numId="20" w16cid:durableId="554125780">
    <w:abstractNumId w:val="14"/>
  </w:num>
  <w:num w:numId="21" w16cid:durableId="1964574287">
    <w:abstractNumId w:val="17"/>
  </w:num>
  <w:num w:numId="22" w16cid:durableId="1868059492">
    <w:abstractNumId w:val="26"/>
  </w:num>
  <w:num w:numId="23" w16cid:durableId="529534098">
    <w:abstractNumId w:val="3"/>
  </w:num>
  <w:num w:numId="24" w16cid:durableId="1828084485">
    <w:abstractNumId w:val="15"/>
  </w:num>
  <w:num w:numId="25" w16cid:durableId="1934242185">
    <w:abstractNumId w:val="11"/>
  </w:num>
  <w:num w:numId="26" w16cid:durableId="1799032513">
    <w:abstractNumId w:val="33"/>
  </w:num>
  <w:num w:numId="27" w16cid:durableId="98570134">
    <w:abstractNumId w:val="10"/>
  </w:num>
  <w:num w:numId="28" w16cid:durableId="1517381528">
    <w:abstractNumId w:val="5"/>
  </w:num>
  <w:num w:numId="29" w16cid:durableId="823667415">
    <w:abstractNumId w:val="12"/>
  </w:num>
  <w:num w:numId="30" w16cid:durableId="1665426430">
    <w:abstractNumId w:val="20"/>
  </w:num>
  <w:num w:numId="31" w16cid:durableId="724336090">
    <w:abstractNumId w:val="23"/>
  </w:num>
  <w:num w:numId="32" w16cid:durableId="1229151702">
    <w:abstractNumId w:val="7"/>
  </w:num>
  <w:num w:numId="33" w16cid:durableId="1877502275">
    <w:abstractNumId w:val="1"/>
  </w:num>
  <w:num w:numId="34" w16cid:durableId="395935091">
    <w:abstractNumId w:val="2"/>
  </w:num>
  <w:num w:numId="35" w16cid:durableId="1298561635">
    <w:abstractNumId w:val="8"/>
  </w:num>
  <w:num w:numId="36" w16cid:durableId="955452418">
    <w:abstractNumId w:val="30"/>
  </w:num>
  <w:num w:numId="37" w16cid:durableId="856163588">
    <w:abstractNumId w:val="6"/>
  </w:num>
  <w:num w:numId="38" w16cid:durableId="1298561635">
    <w:abstractNumId w:val="18"/>
    <w:lvlOverride w:ilvl="0">
      <w:startOverride w:val="1"/>
    </w:lvlOverride>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displayBackgroundShape/>
  <w:activeWritingStyle w:appName="MSWord" w:lang="es-PE" w:vendorID="64" w:dllVersion="0" w:nlCheck="1" w:checkStyle="0"/>
  <w:activeWritingStyle w:appName="MSWord" w:lang="en-US" w:vendorID="64" w:dllVersion="0" w:nlCheck="1" w:checkStyle="0"/>
  <w:proofState w:spelling="clean" w:grammar="clean"/>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0718"/>
    <w:rsid w:val="00006CDE"/>
    <w:rsid w:val="00013D8E"/>
    <w:rsid w:val="000153F0"/>
    <w:rsid w:val="00025734"/>
    <w:rsid w:val="00026A41"/>
    <w:rsid w:val="000365E0"/>
    <w:rsid w:val="00043B19"/>
    <w:rsid w:val="00047728"/>
    <w:rsid w:val="000B6CAE"/>
    <w:rsid w:val="000C43E2"/>
    <w:rsid w:val="000C7600"/>
    <w:rsid w:val="000E3950"/>
    <w:rsid w:val="000E4C2C"/>
    <w:rsid w:val="000E5B6B"/>
    <w:rsid w:val="000E7544"/>
    <w:rsid w:val="000F31A1"/>
    <w:rsid w:val="000F3595"/>
    <w:rsid w:val="001164EE"/>
    <w:rsid w:val="0012096A"/>
    <w:rsid w:val="001222E1"/>
    <w:rsid w:val="00141E9A"/>
    <w:rsid w:val="001437F1"/>
    <w:rsid w:val="00153C2B"/>
    <w:rsid w:val="001556C1"/>
    <w:rsid w:val="001609F8"/>
    <w:rsid w:val="00164552"/>
    <w:rsid w:val="00166F8B"/>
    <w:rsid w:val="00171767"/>
    <w:rsid w:val="00174519"/>
    <w:rsid w:val="00180A95"/>
    <w:rsid w:val="0018147B"/>
    <w:rsid w:val="0018222F"/>
    <w:rsid w:val="001A5262"/>
    <w:rsid w:val="001B791A"/>
    <w:rsid w:val="001C5C4D"/>
    <w:rsid w:val="001D0B85"/>
    <w:rsid w:val="001E0BE5"/>
    <w:rsid w:val="001E5BAD"/>
    <w:rsid w:val="001F00B9"/>
    <w:rsid w:val="001F1383"/>
    <w:rsid w:val="001F16B0"/>
    <w:rsid w:val="001F28C5"/>
    <w:rsid w:val="00206379"/>
    <w:rsid w:val="002073F3"/>
    <w:rsid w:val="002102ED"/>
    <w:rsid w:val="00215BA9"/>
    <w:rsid w:val="002222E3"/>
    <w:rsid w:val="00226840"/>
    <w:rsid w:val="00236A5F"/>
    <w:rsid w:val="002555BF"/>
    <w:rsid w:val="00261D87"/>
    <w:rsid w:val="0026375D"/>
    <w:rsid w:val="0026696B"/>
    <w:rsid w:val="002711BE"/>
    <w:rsid w:val="00272134"/>
    <w:rsid w:val="00274362"/>
    <w:rsid w:val="00275B9B"/>
    <w:rsid w:val="002840F0"/>
    <w:rsid w:val="0029383A"/>
    <w:rsid w:val="002950F6"/>
    <w:rsid w:val="002A5658"/>
    <w:rsid w:val="002B0710"/>
    <w:rsid w:val="002D136C"/>
    <w:rsid w:val="002D1BB4"/>
    <w:rsid w:val="002D4E18"/>
    <w:rsid w:val="003071B9"/>
    <w:rsid w:val="003173B4"/>
    <w:rsid w:val="003204D8"/>
    <w:rsid w:val="00325777"/>
    <w:rsid w:val="00325F1C"/>
    <w:rsid w:val="00326739"/>
    <w:rsid w:val="003320CB"/>
    <w:rsid w:val="003325F7"/>
    <w:rsid w:val="003327C9"/>
    <w:rsid w:val="0033689D"/>
    <w:rsid w:val="0034493F"/>
    <w:rsid w:val="00344C8A"/>
    <w:rsid w:val="00352D87"/>
    <w:rsid w:val="003530CE"/>
    <w:rsid w:val="00361346"/>
    <w:rsid w:val="003636BC"/>
    <w:rsid w:val="003665C6"/>
    <w:rsid w:val="00366BA4"/>
    <w:rsid w:val="0037497B"/>
    <w:rsid w:val="003758C8"/>
    <w:rsid w:val="003922D5"/>
    <w:rsid w:val="003A6AB9"/>
    <w:rsid w:val="003A7976"/>
    <w:rsid w:val="003B242A"/>
    <w:rsid w:val="003B6E7C"/>
    <w:rsid w:val="003B7D61"/>
    <w:rsid w:val="003C1E3F"/>
    <w:rsid w:val="003D4DEA"/>
    <w:rsid w:val="003E2526"/>
    <w:rsid w:val="003E4730"/>
    <w:rsid w:val="003F591A"/>
    <w:rsid w:val="00444444"/>
    <w:rsid w:val="004503ED"/>
    <w:rsid w:val="0045319E"/>
    <w:rsid w:val="00454C03"/>
    <w:rsid w:val="00462A57"/>
    <w:rsid w:val="00463CDC"/>
    <w:rsid w:val="00467C46"/>
    <w:rsid w:val="0047575A"/>
    <w:rsid w:val="00485890"/>
    <w:rsid w:val="004A0CE8"/>
    <w:rsid w:val="004A50A6"/>
    <w:rsid w:val="004A6881"/>
    <w:rsid w:val="004B3330"/>
    <w:rsid w:val="004C17C6"/>
    <w:rsid w:val="004C4F5D"/>
    <w:rsid w:val="004C7B15"/>
    <w:rsid w:val="004D01A4"/>
    <w:rsid w:val="004E204E"/>
    <w:rsid w:val="004F49BB"/>
    <w:rsid w:val="004F7F7E"/>
    <w:rsid w:val="00500518"/>
    <w:rsid w:val="00502E18"/>
    <w:rsid w:val="005060AB"/>
    <w:rsid w:val="0050738A"/>
    <w:rsid w:val="00512CEC"/>
    <w:rsid w:val="00521B40"/>
    <w:rsid w:val="00524301"/>
    <w:rsid w:val="00532CB5"/>
    <w:rsid w:val="00535686"/>
    <w:rsid w:val="00537E02"/>
    <w:rsid w:val="0054144C"/>
    <w:rsid w:val="00553A03"/>
    <w:rsid w:val="00554995"/>
    <w:rsid w:val="00565AB1"/>
    <w:rsid w:val="00565FB3"/>
    <w:rsid w:val="00567233"/>
    <w:rsid w:val="00567C78"/>
    <w:rsid w:val="00570612"/>
    <w:rsid w:val="00577C4C"/>
    <w:rsid w:val="005823E6"/>
    <w:rsid w:val="00590BAB"/>
    <w:rsid w:val="00594919"/>
    <w:rsid w:val="005B30EE"/>
    <w:rsid w:val="005B3F5B"/>
    <w:rsid w:val="005C21BA"/>
    <w:rsid w:val="005C3A70"/>
    <w:rsid w:val="005C4042"/>
    <w:rsid w:val="005C67EA"/>
    <w:rsid w:val="005D216F"/>
    <w:rsid w:val="005D5880"/>
    <w:rsid w:val="005D662A"/>
    <w:rsid w:val="005D754C"/>
    <w:rsid w:val="005F24C2"/>
    <w:rsid w:val="005F3265"/>
    <w:rsid w:val="0060099A"/>
    <w:rsid w:val="00603B7D"/>
    <w:rsid w:val="00617198"/>
    <w:rsid w:val="006248C0"/>
    <w:rsid w:val="00641EAF"/>
    <w:rsid w:val="00651CD0"/>
    <w:rsid w:val="0065257C"/>
    <w:rsid w:val="00662A54"/>
    <w:rsid w:val="00663503"/>
    <w:rsid w:val="006653DD"/>
    <w:rsid w:val="00665F3F"/>
    <w:rsid w:val="00670027"/>
    <w:rsid w:val="00677324"/>
    <w:rsid w:val="006806C8"/>
    <w:rsid w:val="00682244"/>
    <w:rsid w:val="00691FB4"/>
    <w:rsid w:val="00697B72"/>
    <w:rsid w:val="006B3AF5"/>
    <w:rsid w:val="006B4241"/>
    <w:rsid w:val="006B7D44"/>
    <w:rsid w:val="006C344B"/>
    <w:rsid w:val="006D44AB"/>
    <w:rsid w:val="006E0C91"/>
    <w:rsid w:val="006F5C22"/>
    <w:rsid w:val="006F6A67"/>
    <w:rsid w:val="00714044"/>
    <w:rsid w:val="007216B6"/>
    <w:rsid w:val="00722166"/>
    <w:rsid w:val="007324DC"/>
    <w:rsid w:val="00736724"/>
    <w:rsid w:val="0074173E"/>
    <w:rsid w:val="0075082A"/>
    <w:rsid w:val="007536D0"/>
    <w:rsid w:val="007614B5"/>
    <w:rsid w:val="007718AA"/>
    <w:rsid w:val="00771AB8"/>
    <w:rsid w:val="007808CA"/>
    <w:rsid w:val="00790E37"/>
    <w:rsid w:val="007B626B"/>
    <w:rsid w:val="007C33C4"/>
    <w:rsid w:val="007C4F40"/>
    <w:rsid w:val="007D181A"/>
    <w:rsid w:val="007F16BF"/>
    <w:rsid w:val="007F4CB9"/>
    <w:rsid w:val="0080335D"/>
    <w:rsid w:val="0080359D"/>
    <w:rsid w:val="00806D68"/>
    <w:rsid w:val="00807C98"/>
    <w:rsid w:val="0081311B"/>
    <w:rsid w:val="008133DB"/>
    <w:rsid w:val="00814A4B"/>
    <w:rsid w:val="008326EA"/>
    <w:rsid w:val="00833450"/>
    <w:rsid w:val="00833CDE"/>
    <w:rsid w:val="00834FEE"/>
    <w:rsid w:val="00836DA1"/>
    <w:rsid w:val="0084436F"/>
    <w:rsid w:val="008540A5"/>
    <w:rsid w:val="00863A18"/>
    <w:rsid w:val="0087077E"/>
    <w:rsid w:val="00872F54"/>
    <w:rsid w:val="008776A6"/>
    <w:rsid w:val="00877B5B"/>
    <w:rsid w:val="008A143D"/>
    <w:rsid w:val="008B010D"/>
    <w:rsid w:val="008B2BEE"/>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4125C"/>
    <w:rsid w:val="00950EB9"/>
    <w:rsid w:val="00951287"/>
    <w:rsid w:val="009576CD"/>
    <w:rsid w:val="009577DC"/>
    <w:rsid w:val="00972640"/>
    <w:rsid w:val="00975D3B"/>
    <w:rsid w:val="00976029"/>
    <w:rsid w:val="00992360"/>
    <w:rsid w:val="00997013"/>
    <w:rsid w:val="009A1F1B"/>
    <w:rsid w:val="009B2D6B"/>
    <w:rsid w:val="009C297E"/>
    <w:rsid w:val="009E0389"/>
    <w:rsid w:val="009E4983"/>
    <w:rsid w:val="009E7E49"/>
    <w:rsid w:val="009F2465"/>
    <w:rsid w:val="009F6B32"/>
    <w:rsid w:val="00A009CE"/>
    <w:rsid w:val="00A04AE5"/>
    <w:rsid w:val="00A13B62"/>
    <w:rsid w:val="00A149DD"/>
    <w:rsid w:val="00A15156"/>
    <w:rsid w:val="00A154AA"/>
    <w:rsid w:val="00A2302D"/>
    <w:rsid w:val="00A3530D"/>
    <w:rsid w:val="00A402D8"/>
    <w:rsid w:val="00A447B6"/>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0B3B"/>
    <w:rsid w:val="00AA1508"/>
    <w:rsid w:val="00AA2DB4"/>
    <w:rsid w:val="00AB0407"/>
    <w:rsid w:val="00AB5DBB"/>
    <w:rsid w:val="00AC727E"/>
    <w:rsid w:val="00AD458B"/>
    <w:rsid w:val="00AD5F7D"/>
    <w:rsid w:val="00AE1F2D"/>
    <w:rsid w:val="00AE3DBA"/>
    <w:rsid w:val="00AE6854"/>
    <w:rsid w:val="00AF13D8"/>
    <w:rsid w:val="00AF2BA4"/>
    <w:rsid w:val="00B065C5"/>
    <w:rsid w:val="00B10861"/>
    <w:rsid w:val="00B10C11"/>
    <w:rsid w:val="00B23382"/>
    <w:rsid w:val="00B27FA6"/>
    <w:rsid w:val="00B34A74"/>
    <w:rsid w:val="00B357D5"/>
    <w:rsid w:val="00B46315"/>
    <w:rsid w:val="00B474EF"/>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0D18"/>
    <w:rsid w:val="00C14706"/>
    <w:rsid w:val="00C1489A"/>
    <w:rsid w:val="00C23E72"/>
    <w:rsid w:val="00C34A71"/>
    <w:rsid w:val="00C462BD"/>
    <w:rsid w:val="00C47FC1"/>
    <w:rsid w:val="00C5632E"/>
    <w:rsid w:val="00C5723D"/>
    <w:rsid w:val="00C603B3"/>
    <w:rsid w:val="00C66B57"/>
    <w:rsid w:val="00C71A9A"/>
    <w:rsid w:val="00C733EA"/>
    <w:rsid w:val="00C736D9"/>
    <w:rsid w:val="00C77327"/>
    <w:rsid w:val="00C817F2"/>
    <w:rsid w:val="00C868D8"/>
    <w:rsid w:val="00C93D4C"/>
    <w:rsid w:val="00CA521D"/>
    <w:rsid w:val="00CA74AD"/>
    <w:rsid w:val="00CB040E"/>
    <w:rsid w:val="00CC6721"/>
    <w:rsid w:val="00CD5098"/>
    <w:rsid w:val="00CD5536"/>
    <w:rsid w:val="00CE10DF"/>
    <w:rsid w:val="00CE3C2A"/>
    <w:rsid w:val="00CE6C00"/>
    <w:rsid w:val="00CF07E5"/>
    <w:rsid w:val="00CF1187"/>
    <w:rsid w:val="00CF4842"/>
    <w:rsid w:val="00D02E5D"/>
    <w:rsid w:val="00D108CB"/>
    <w:rsid w:val="00D12015"/>
    <w:rsid w:val="00D16977"/>
    <w:rsid w:val="00D35170"/>
    <w:rsid w:val="00D37B6E"/>
    <w:rsid w:val="00D42CEC"/>
    <w:rsid w:val="00D443F8"/>
    <w:rsid w:val="00D44574"/>
    <w:rsid w:val="00D528BB"/>
    <w:rsid w:val="00D601EF"/>
    <w:rsid w:val="00D75749"/>
    <w:rsid w:val="00D83EE0"/>
    <w:rsid w:val="00D950D6"/>
    <w:rsid w:val="00DA3E65"/>
    <w:rsid w:val="00DA4B1B"/>
    <w:rsid w:val="00DA7F56"/>
    <w:rsid w:val="00DB1816"/>
    <w:rsid w:val="00DC27CF"/>
    <w:rsid w:val="00DC2B05"/>
    <w:rsid w:val="00DC7025"/>
    <w:rsid w:val="00DE269D"/>
    <w:rsid w:val="00DE41F6"/>
    <w:rsid w:val="00DE4308"/>
    <w:rsid w:val="00DF04A0"/>
    <w:rsid w:val="00DF3D57"/>
    <w:rsid w:val="00DF4730"/>
    <w:rsid w:val="00E151B6"/>
    <w:rsid w:val="00E160DD"/>
    <w:rsid w:val="00E207DD"/>
    <w:rsid w:val="00E22438"/>
    <w:rsid w:val="00E22CB4"/>
    <w:rsid w:val="00E22E28"/>
    <w:rsid w:val="00E3106C"/>
    <w:rsid w:val="00E34945"/>
    <w:rsid w:val="00E4189E"/>
    <w:rsid w:val="00E41A15"/>
    <w:rsid w:val="00E51968"/>
    <w:rsid w:val="00E62105"/>
    <w:rsid w:val="00E67A73"/>
    <w:rsid w:val="00E75696"/>
    <w:rsid w:val="00E810C0"/>
    <w:rsid w:val="00E87621"/>
    <w:rsid w:val="00E9145B"/>
    <w:rsid w:val="00E950CF"/>
    <w:rsid w:val="00EA5536"/>
    <w:rsid w:val="00EB62D4"/>
    <w:rsid w:val="00EC1C5F"/>
    <w:rsid w:val="00EC21E7"/>
    <w:rsid w:val="00EC2CB2"/>
    <w:rsid w:val="00EC79A5"/>
    <w:rsid w:val="00ED2DC8"/>
    <w:rsid w:val="00ED3F92"/>
    <w:rsid w:val="00ED522E"/>
    <w:rsid w:val="00EE0817"/>
    <w:rsid w:val="00EF2B54"/>
    <w:rsid w:val="00EF6D32"/>
    <w:rsid w:val="00F0082B"/>
    <w:rsid w:val="00F0156C"/>
    <w:rsid w:val="00F0441E"/>
    <w:rsid w:val="00F12B33"/>
    <w:rsid w:val="00F2135B"/>
    <w:rsid w:val="00F2227C"/>
    <w:rsid w:val="00F33348"/>
    <w:rsid w:val="00F36D39"/>
    <w:rsid w:val="00F378B6"/>
    <w:rsid w:val="00F4172E"/>
    <w:rsid w:val="00F45DDD"/>
    <w:rsid w:val="00F50B2B"/>
    <w:rsid w:val="00F775C3"/>
    <w:rsid w:val="00F80506"/>
    <w:rsid w:val="00F9075F"/>
    <w:rsid w:val="00F91DE2"/>
    <w:rsid w:val="00F931FB"/>
    <w:rsid w:val="00F936FD"/>
    <w:rsid w:val="00FA09F7"/>
    <w:rsid w:val="00FA4DEA"/>
    <w:rsid w:val="00FA5FEB"/>
    <w:rsid w:val="00FB439A"/>
    <w:rsid w:val="00FB7434"/>
    <w:rsid w:val="00FC0075"/>
    <w:rsid w:val="00FD6C8C"/>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5503FE"/>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 w:type="paragraph" w:styleId="NormalWeb">
    <w:name w:val="Normal (Web)"/>
    <w:basedOn w:val="Normal"/>
    <w:uiPriority w:val="99"/>
    <w:semiHidden/>
    <w:unhideWhenUsed/>
    <w:rsid w:val="00E151B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3.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07781DB-EED9-4359-8AD9-68137B52B70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10693</TotalTime>
  <Pages>55</Pages>
  <Words>18929</Words>
  <Characters>104110</Characters>
  <Application>Microsoft Office Word</Application>
  <DocSecurity>0</DocSecurity>
  <Lines>867</Lines>
  <Paragraphs>245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253</cp:revision>
  <dcterms:created xsi:type="dcterms:W3CDTF">2026-03-23T21:09:00Z</dcterms:created>
  <dcterms:modified xsi:type="dcterms:W3CDTF">2026-09-02T14:38:00Z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