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F96DBBD" w14:textId="0BC31A90" w:rsidR="00577C4C" w:rsidRDefault="00577C4C">
      <w:pPr>
        <w:pStyle w:val="Prrafodelista"/>
        <w:numPr>
          <w:ilvl w:val="0"/>
          <w:numId w:val="18"/>
        </w:numPr>
        <w:spacing w:line="276" w:lineRule="auto"/>
        <w:rPr>
          <w:b w:val="0"/>
          <w:bCs w:val="0"/>
          <w:color w:val="000000"/>
        </w:rPr>
      </w:pPr>
      <w:r w:rsidRPr="00577C4C">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sidRPr="00577C4C">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sidRPr="00577C4C">
        <w:rPr>
          <w:b w:val="0"/>
          <w:bCs w:val="0"/>
          <w:color w:val="000000"/>
        </w:rPr>
        <w:t xml:space="preserve">MGPP: Modelo de </w:t>
      </w:r>
      <w:r w:rsidR="0074173E">
        <w:rPr>
          <w:b w:val="0"/>
          <w:bCs w:val="0"/>
          <w:color w:val="000000"/>
        </w:rPr>
        <w:t>Gobernabilidad</w:t>
      </w:r>
      <w:r w:rsidRPr="00577C4C">
        <w:rPr>
          <w:b w:val="0"/>
          <w:bCs w:val="0"/>
          <w:color w:val="000000"/>
        </w:rPr>
        <w:t xml:space="preserve"> de </w:t>
      </w:r>
      <w:r>
        <w:rPr>
          <w:b w:val="0"/>
          <w:bCs w:val="0"/>
          <w:color w:val="000000"/>
        </w:rPr>
        <w:t>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sidRPr="00A402D8">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sidRPr="00577C4C">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sidRPr="00577C4C">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Uso Seguro, Responsable y Ético de los SBIA </w:t>
      </w:r>
      <w:r w:rsidR="0094125C" w:rsidRPr="0094125C">
        <w:rPr>
          <w:rFonts w:ascii="Arial" w:hAnsi="Arial" w:cs="Arial"/>
          <w:highlight w:val="yellow"/>
        </w:rPr>
        <w:t>y observando la NTP-ISO/IEC 42001:2025 de uso obligatorio conforme al numeral 28.2 del artículo 28 del RLIA</w:t>
      </w:r>
      <w:r>
        <w:rPr>
          <w:rFonts w:ascii="Arial" w:hAnsi="Arial" w:cs="Arial"/>
          <w:highlight w:val="yellow"/>
        </w:rPr>
        <w:t>,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 xml:space="preserve">seguridad de la información, las contrataciones y la </w:t>
      </w:r>
      <w:r w:rsidRPr="00D37B6E">
        <w:rPr>
          <w:rFonts w:ascii="Arial" w:hAnsi="Arial" w:cs="Arial"/>
          <w:highlight w:val="green"/>
        </w:rPr>
        <w:t>gestión de las personas:</w:t>
      </w:r>
      <w:r w:rsidR="00D37B6E" w:rsidRPr="00D37B6E">
        <w:rPr>
          <w:highlight w:val="green"/>
        </w:rPr>
        <w:t xml:space="preserve"> </w:t>
      </w:r>
      <w:r w:rsidR="00D37B6E" w:rsidRPr="00D37B6E">
        <w:rPr>
          <w:rFonts w:ascii="Arial" w:hAnsi="Arial" w:cs="Arial"/>
          <w:highlight w:val="green"/>
        </w:rPr>
        <w:t>sobre ellos identifica lo que corresponde verificar respecto del componente de IA</w:t>
      </w:r>
      <w:r w:rsidR="00D37B6E" w:rsidRPr="00D37B6E">
        <w:rPr>
          <w:rFonts w:ascii="Arial" w:hAnsi="Arial" w:cs="Arial"/>
          <w:highlight w:val="green"/>
        </w:rPr>
        <w:t>.</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lastRenderedPageBreak/>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sidRPr="00F50B2B">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7F734DDA" w14:textId="414305AB" w:rsidR="00A154AA" w:rsidRPr="00A402D8" w:rsidRDefault="00A154AA" w:rsidP="00A154AA">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741A25AD" w14:textId="66A61B92" w:rsidR="00524301" w:rsidRPr="00641EAF" w:rsidRDefault="00524301" w:rsidP="00641EAF">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 xml:space="preserve">Resolución de Superintendencia N.° 000144-2026/SUNAT (30/07/2026), que </w:t>
      </w:r>
      <w:r w:rsidRPr="00641EAF">
        <w:rPr>
          <w:b w:val="0"/>
          <w:bCs w:val="0"/>
          <w:color w:val="000000"/>
          <w:highlight w:val="green"/>
        </w:rPr>
        <w:t>aprueba la Política de uso seguro, responsable y ético de los sistemas basados en inteligencia artificial en la Superintendencia Nacional de Aduanas y de Administración Tributaria</w:t>
      </w:r>
      <w:r w:rsidR="00641EAF" w:rsidRPr="00641EAF">
        <w:rPr>
          <w:rFonts w:asciiTheme="minorHAnsi" w:eastAsiaTheme="minorEastAsia" w:hAnsiTheme="minorHAnsi" w:cstheme="minorBidi"/>
          <w:b w:val="0"/>
          <w:bCs w:val="0"/>
        </w:rPr>
        <w:t xml:space="preserve">, </w:t>
      </w:r>
      <w:r w:rsidR="00641EAF" w:rsidRPr="00641EAF">
        <w:rPr>
          <w:b w:val="0"/>
          <w:bCs w:val="0"/>
          <w:color w:val="000000"/>
          <w:highlight w:val="green"/>
        </w:rPr>
        <w:t>en adelante, la Política de IA</w:t>
      </w:r>
      <w:r w:rsidR="00641EAF">
        <w:rPr>
          <w:b w:val="0"/>
          <w:bCs w:val="0"/>
          <w:color w:val="000000"/>
          <w:highlight w:val="green"/>
        </w:rPr>
        <w:t>.</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t>Resolución de Oficina N.° 001-2024-SUNAT/1V0000, que aprueba la Metodología para la formulación, aprobación y control de los Documentos Normativos Institucionales (METDONI) Versión 1.4.</w:t>
      </w:r>
    </w:p>
    <w:p w14:paraId="4208E65D" w14:textId="34BB98F2" w:rsid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sidRPr="00F50B2B">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sidRPr="00F50B2B">
        <w:rPr>
          <w:b w:val="0"/>
          <w:bCs w:val="0"/>
          <w:color w:val="000000"/>
          <w:highlight w:val="green"/>
        </w:rPr>
        <w:lastRenderedPageBreak/>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incluyendo evaluación de viabilidad, diseño, desarrollo o adquisición, pruebas, despliegue, operación, monitoreo y desactivación. [ISO/IEC 22989:2022, sección 3.2.1; </w:t>
      </w:r>
      <w:r w:rsidR="00AA0B3B" w:rsidRPr="00AA0B3B">
        <w:rPr>
          <w:b w:val="0"/>
          <w:bCs w:val="0"/>
          <w:color w:val="000000"/>
        </w:rPr>
        <w:t>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sidRPr="00AA0B3B">
        <w:rPr>
          <w:color w:val="000000"/>
          <w:highlight w:val="green"/>
        </w:rPr>
        <w:t>Componente generativo:</w:t>
      </w:r>
      <w:r w:rsidRPr="00AA0B3B">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sidRPr="00AA0B3B">
        <w:rPr>
          <w:color w:val="000000"/>
          <w:highlight w:val="green"/>
        </w:rPr>
        <w:t>Controles de contención (Guardrails):</w:t>
      </w:r>
      <w:r w:rsidRPr="00AA0B3B">
        <w:rPr>
          <w:b w:val="0"/>
          <w:bCs w:val="0"/>
          <w:color w:val="000000"/>
          <w:highlight w:val="green"/>
        </w:rPr>
        <w:t xml:space="preserve"> </w:t>
      </w:r>
      <w:r w:rsidR="00171767" w:rsidRPr="00AA0B3B">
        <w:rPr>
          <w:b w:val="0"/>
          <w:bCs w:val="0"/>
          <w:color w:val="000000"/>
          <w:highlight w:val="green"/>
        </w:rPr>
        <w:t xml:space="preserve">Conjunto de controles, reglas y mecanismos </w:t>
      </w:r>
      <w:r w:rsidR="00171767" w:rsidRPr="00171767">
        <w:rPr>
          <w:b w:val="0"/>
          <w:bCs w:val="0"/>
          <w:color w:val="000000"/>
          <w:highlight w:val="green"/>
        </w:rPr>
        <w:t xml:space="preserve">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sidRPr="0045319E">
        <w:rPr>
          <w:color w:val="000000"/>
          <w:highlight w:val="green"/>
        </w:rPr>
        <w:t>Custodio técnico:</w:t>
      </w:r>
      <w:r w:rsidRPr="0045319E">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o implementación. </w:t>
      </w:r>
      <w:r w:rsidRPr="00AA0B3B">
        <w:rPr>
          <w:b w:val="0"/>
          <w:bCs w:val="0"/>
          <w:color w:val="000000"/>
          <w:highlight w:val="yellow"/>
          <w:lang w:val="en-US"/>
        </w:rPr>
        <w:t xml:space="preserve">[D.S. N.° 115-2025-PCM, Art. 30; </w:t>
      </w:r>
      <w:r w:rsidR="00AA0B3B" w:rsidRPr="00AA0B3B">
        <w:rPr>
          <w:b w:val="0"/>
          <w:bCs w:val="0"/>
          <w:color w:val="000000"/>
          <w:highlight w:val="yellow"/>
          <w:lang w:val="en-US"/>
        </w:rPr>
        <w:t>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w:t>
      </w:r>
      <w:r w:rsidR="00AA0B3B">
        <w:rPr>
          <w:b w:val="0"/>
          <w:bCs w:val="0"/>
          <w:color w:val="000000"/>
        </w:rPr>
        <w:t xml:space="preserve"> </w:t>
      </w:r>
      <w:r w:rsidR="00FB7434" w:rsidRPr="00AA0B3B">
        <w:rPr>
          <w:b w:val="0"/>
          <w:bCs w:val="0"/>
          <w:color w:val="000000"/>
          <w:lang w:val="en-US"/>
        </w:rPr>
        <w:t>[D.S. N.° 115-2025-PCM, Art. 7 lit. h);</w:t>
      </w:r>
      <w:r w:rsidRPr="00AA0B3B">
        <w:rPr>
          <w:b w:val="0"/>
          <w:bCs w:val="0"/>
          <w:color w:val="000000"/>
          <w:lang w:val="en-US"/>
        </w:rPr>
        <w:t xml:space="preserve">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w:t>
      </w:r>
      <w:r w:rsidR="00AA0B3B">
        <w:rPr>
          <w:b w:val="0"/>
          <w:bCs w:val="0"/>
          <w:color w:val="000000"/>
        </w:rPr>
        <w:t xml:space="preserve"> </w:t>
      </w:r>
      <w:r w:rsidR="00FB7434" w:rsidRPr="00AA0B3B">
        <w:rPr>
          <w:b w:val="0"/>
          <w:bCs w:val="0"/>
          <w:color w:val="000000"/>
          <w:lang w:val="en-US"/>
        </w:rPr>
        <w:t>[D.S. N.° 115-2025-PCM, Art. 7 lit. h);</w:t>
      </w:r>
      <w:r w:rsidRPr="00AA0B3B">
        <w:rPr>
          <w:b w:val="0"/>
          <w:bCs w:val="0"/>
          <w:color w:val="000000"/>
          <w:lang w:val="en-US"/>
        </w:rPr>
        <w:t xml:space="preserve">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w:t>
      </w:r>
      <w:r w:rsidR="00AA0B3B">
        <w:rPr>
          <w:b w:val="0"/>
          <w:bCs w:val="0"/>
          <w:color w:val="000000"/>
        </w:rPr>
        <w:t xml:space="preserve"> </w:t>
      </w:r>
      <w:r w:rsidR="00FB7434">
        <w:rPr>
          <w:b w:val="0"/>
          <w:bCs w:val="0"/>
          <w:color w:val="000000"/>
        </w:rPr>
        <w:t>[D.S. N.° 115-2025-PCM, Art. 7 lit. h);</w:t>
      </w:r>
      <w:r>
        <w:rPr>
          <w:b w:val="0"/>
          <w:bCs w:val="0"/>
          <w:color w:val="000000"/>
        </w:rPr>
        <w:t xml:space="preserve">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sidRPr="00A15156">
        <w:rPr>
          <w:color w:val="000000"/>
          <w:highlight w:val="green"/>
        </w:rPr>
        <w:t xml:space="preserve">Niveles de riesgo de un SBIA: </w:t>
      </w:r>
      <w:r w:rsidR="00FA4DEA" w:rsidRPr="00FA4DEA">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w:t>
      </w:r>
      <w:r w:rsidR="001F28C5" w:rsidRPr="001F28C5">
        <w:rPr>
          <w:b w:val="0"/>
          <w:bCs w:val="0"/>
          <w:color w:val="000000"/>
          <w:highlight w:val="green"/>
        </w:rPr>
        <w:t>Se distingue del custodio técnico, definido en el presente glosario</w:t>
      </w:r>
      <w:r w:rsidR="00BA798A" w:rsidRPr="00171767">
        <w:rPr>
          <w:b w:val="0"/>
          <w:bCs w:val="0"/>
          <w:color w:val="000000"/>
          <w:highlight w:val="green"/>
        </w:rPr>
        <w:t>.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sidRPr="00DA7F56">
        <w:rPr>
          <w:color w:val="000000"/>
          <w:highlight w:val="green"/>
        </w:rPr>
        <w:t>Reserva tributaria:</w:t>
      </w:r>
      <w:r w:rsidRPr="00DA7F56">
        <w:rPr>
          <w:b w:val="0"/>
          <w:bCs w:val="0"/>
          <w:color w:val="000000"/>
          <w:highlight w:val="green"/>
        </w:rPr>
        <w:t xml:space="preserve"> </w:t>
      </w:r>
      <w:r w:rsidR="00DA7F56" w:rsidRPr="00DA7F56">
        <w:rPr>
          <w:b w:val="0"/>
          <w:bCs w:val="0"/>
          <w:color w:val="000000"/>
          <w:highlight w:val="green"/>
        </w:rPr>
        <w:t xml:space="preserve">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r>
      <w:r w:rsidR="00DA7F56" w:rsidRPr="00DA7F56">
        <w:rPr>
          <w:b w:val="0"/>
          <w:bCs w:val="0"/>
          <w:color w:val="000000"/>
          <w:highlight w:val="green"/>
        </w:rPr>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sidRPr="00AA0B3B">
        <w:rPr>
          <w:b w:val="0"/>
          <w:bCs w:val="0"/>
          <w:color w:val="000000"/>
          <w:lang w:val="en-US"/>
        </w:rPr>
        <w:t>[Ley N.° 31814, Art. 2; D.S. N.° 115-2025-PCM, Art. 6</w:t>
      </w:r>
      <w:r w:rsidR="00AA0B3B" w:rsidRPr="00AA0B3B">
        <w:rPr>
          <w:b w:val="0"/>
          <w:bCs w:val="0"/>
          <w:color w:val="000000"/>
          <w:lang w:val="en-US"/>
        </w:rPr>
        <w:t xml:space="preserve"> </w:t>
      </w:r>
      <w:r w:rsidR="00AA0B3B">
        <w:rPr>
          <w:b w:val="0"/>
          <w:bCs w:val="0"/>
          <w:color w:val="000000"/>
          <w:lang w:val="en-US"/>
        </w:rPr>
        <w:t>l</w:t>
      </w:r>
      <w:r w:rsidR="00AA0B3B" w:rsidRPr="00AA0B3B">
        <w:rPr>
          <w:b w:val="0"/>
          <w:bCs w:val="0"/>
          <w:color w:val="000000"/>
          <w:lang w:val="en-US"/>
        </w:rPr>
        <w:t>it. j</w:t>
      </w:r>
      <w:r w:rsidRPr="00AA0B3B">
        <w:rPr>
          <w:b w:val="0"/>
          <w:bCs w:val="0"/>
          <w:color w:val="000000"/>
          <w:lang w:val="en-US"/>
        </w:rPr>
        <w:t>]</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sidRPr="00E151B6">
        <w:rPr>
          <w:color w:val="000000"/>
          <w:highlight w:val="green"/>
        </w:rPr>
        <w:t>Transparencia algorítmica:</w:t>
      </w:r>
      <w:r w:rsidRPr="00E151B6">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sidRPr="001222E1">
        <w:rPr>
          <w:rFonts w:ascii="Arial" w:hAnsi="Arial" w:cs="Arial"/>
          <w:highlight w:val="yellow"/>
        </w:rPr>
        <w:t xml:space="preserve">Política de </w:t>
      </w:r>
      <w:r w:rsidR="001222E1" w:rsidRPr="001222E1">
        <w:rPr>
          <w:rFonts w:ascii="Arial" w:hAnsi="Arial" w:cs="Arial"/>
          <w:highlight w:val="yellow"/>
        </w:rPr>
        <w:t>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r>
      <w:r>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 xml:space="preserve">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w:t>
      </w:r>
      <w:r w:rsidR="00CA74AD" w:rsidRPr="00CA74AD">
        <w:rPr>
          <w:rFonts w:ascii="Arial" w:eastAsia="Arial" w:hAnsi="Arial" w:cs="Arial"/>
          <w:color w:val="000000"/>
        </w:rPr>
        <w:t>El CGTD lidera, dirige, evalúa y supervisa los proyectos de SBIA estratégicos para la entidad. La calificación de estratégico corresponde al CGTD y se efectúa al aprobar la clasificación de riesgo conforme al numeral 6.2.2.</w:t>
      </w:r>
    </w:p>
    <w:p w14:paraId="0AA671F2" w14:textId="77777777" w:rsidR="00E34945" w:rsidRDefault="00E34945" w:rsidP="00E34945">
      <w:pPr>
        <w:pStyle w:val="SubtituloDONI"/>
        <w:spacing w:line="276" w:lineRule="auto"/>
        <w:ind w:left="851"/>
      </w:pPr>
      <w:r>
        <w:t>5.3</w:t>
      </w:r>
      <w:r>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sidRPr="00806D68">
        <w:rPr>
          <w:rFonts w:ascii="Arial" w:eastAsia="Arial" w:hAnsi="Arial" w:cs="Arial"/>
          <w:color w:val="000000"/>
          <w:highlight w:val="green"/>
        </w:rPr>
        <w:t>5.3.1</w:t>
      </w:r>
      <w:r w:rsidRPr="00806D68">
        <w:rPr>
          <w:rFonts w:ascii="Arial" w:eastAsia="Arial" w:hAnsi="Arial" w:cs="Arial"/>
          <w:color w:val="000000"/>
          <w:highlight w:val="green"/>
        </w:rPr>
        <w:tab/>
      </w:r>
      <w:r w:rsidR="00806D68" w:rsidRPr="00806D68">
        <w:rPr>
          <w:rFonts w:ascii="Arial" w:eastAsia="Arial" w:hAnsi="Arial" w:cs="Arial"/>
          <w:color w:val="000000"/>
          <w:highlight w:val="green"/>
        </w:rPr>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w:t>
      </w:r>
      <w:r w:rsidRPr="00806D68">
        <w:rPr>
          <w:rFonts w:ascii="Arial" w:eastAsia="Arial" w:hAnsi="Arial" w:cs="Arial"/>
          <w:color w:val="000000"/>
          <w:highlight w:val="green"/>
        </w:rPr>
        <w:t>.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sidR="00951287">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sidRPr="00CA74AD">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 xml:space="preserve">Aprueba la clasificación de riesgo de todos los SBIA conforme al numeral 6.2.2: </w:t>
            </w:r>
            <w:r w:rsidR="00CA74AD" w:rsidRPr="00CA74AD">
              <w:rPr>
                <w:b w:val="0"/>
                <w:bCs w:val="0"/>
                <w:highlight w:val="green"/>
              </w:rPr>
              <w:t>de manera individual en los de riesgo alto y en los estratégicos para la entidad, y de manera agregada en los demás de riesgo aceptable</w:t>
            </w:r>
            <w:r w:rsidRPr="002840F0">
              <w:rPr>
                <w:b w:val="0"/>
                <w:bCs w:val="0"/>
                <w:highlight w:val="green"/>
              </w:rPr>
              <w:t xml:space="preserv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Aprueba los casos de uso y la estrategia de IA.</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sidRPr="007B626B">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sidRPr="007B626B">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sidRPr="002840F0">
              <w:rPr>
                <w:b w:val="0"/>
                <w:bCs w:val="0"/>
                <w:highlight w:val="green"/>
              </w:rPr>
              <w:lastRenderedPageBreak/>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sidRPr="00E51968">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e informa al CGTD los incidentes de seguridad digital críticos que los involucren.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sidR="00834FEE" w:rsidRPr="00834FEE">
              <w:rPr>
                <w:b w:val="0"/>
                <w:bCs w:val="0"/>
                <w:highlight w:val="green"/>
              </w:rPr>
              <w:t xml:space="preserve">Revisa la EIA en materia de cumplimiento normativo. </w:t>
            </w:r>
            <w:r w:rsidR="003D4DEA" w:rsidRPr="003D4DEA">
              <w:rPr>
                <w:b w:val="0"/>
                <w:bCs w:val="0"/>
                <w:highlight w:val="green"/>
              </w:rPr>
              <w:t>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w:t>
            </w:r>
            <w:r w:rsidRPr="00171767">
              <w:rPr>
                <w:b w:val="0"/>
                <w:bCs w:val="0"/>
                <w:highlight w:val="green"/>
              </w:rPr>
              <w:lastRenderedPageBreak/>
              <w:t xml:space="preserve">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sidRPr="00951287">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sidRPr="0029383A">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sidRPr="0029383A">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Contribuye a la evaluación del componente de IA con el </w:t>
            </w:r>
            <w:r w:rsidRPr="005B30EE">
              <w:rPr>
                <w:b w:val="0"/>
                <w:bCs w:val="0"/>
                <w:highlight w:val="lightGray"/>
              </w:rPr>
              <w:lastRenderedPageBreak/>
              <w:t xml:space="preserve">conocimiento operativo de los procesos de dicho ámbito y de su impacto en los administrados. Su participación es permanente y no sustituye la del propietario del caso de uso, </w:t>
            </w:r>
            <w:r w:rsidR="00951287" w:rsidRPr="00951287">
              <w:rPr>
                <w:b w:val="0"/>
                <w:bCs w:val="0"/>
                <w:highlight w:val="lightGray"/>
              </w:rPr>
              <w:t>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sidRPr="003D4DEA">
              <w:rPr>
                <w:rFonts w:ascii="Arial" w:eastAsia="Arial" w:hAnsi="Arial" w:cs="Arial"/>
                <w:b/>
                <w:bCs/>
              </w:rPr>
              <w:lastRenderedPageBreak/>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r>
      <w:r w:rsidR="00863A18">
        <w:rPr>
          <w:rFonts w:cs="Arial"/>
          <w:bCs/>
          <w:color w:val="000000"/>
          <w:szCs w:val="22"/>
        </w:rPr>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 xml:space="preserve">competentes emiten conforme a ellos y añade </w:t>
      </w:r>
      <w:r w:rsidR="002711BE" w:rsidRPr="002711BE">
        <w:rPr>
          <w:rFonts w:ascii="Arial" w:eastAsia="Arial" w:hAnsi="Arial" w:cs="Arial"/>
          <w:color w:val="000000"/>
          <w:highlight w:val="green"/>
        </w:rPr>
        <w:lastRenderedPageBreak/>
        <w:t>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La etapa concluye con la presentación a la</w:t>
            </w:r>
            <w:r w:rsidRPr="00C603B3">
              <w:rPr>
                <w:rFonts w:ascii="Arial" w:eastAsia="Arial" w:hAnsi="Arial" w:cs="Arial"/>
                <w:highlight w:val="green"/>
              </w:rPr>
              <w:t xml:space="preserve"> </w:t>
            </w:r>
            <w:r w:rsidRPr="00C603B3">
              <w:rPr>
                <w:rFonts w:ascii="Arial" w:eastAsia="Arial" w:hAnsi="Arial" w:cs="Arial"/>
                <w:highlight w:val="green"/>
              </w:rPr>
              <w:t>Comisión de Gobierno de IA de la Ficha de</w:t>
            </w:r>
          </w:p>
          <w:p w14:paraId="4084A96C" w14:textId="150F5B75"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Evaluación de Caso de Uso, suscrita conforme a la Sección 6 del</w:t>
            </w:r>
            <w:r w:rsidRPr="00C603B3">
              <w:rPr>
                <w:rFonts w:ascii="Arial" w:eastAsia="Arial" w:hAnsi="Arial" w:cs="Arial"/>
                <w:highlight w:val="green"/>
              </w:rPr>
              <w:t xml:space="preserve"> </w:t>
            </w:r>
            <w:r w:rsidRPr="00C603B3">
              <w:rPr>
                <w:rFonts w:ascii="Arial" w:eastAsia="Arial" w:hAnsi="Arial" w:cs="Arial"/>
                <w:highlight w:val="green"/>
              </w:rPr>
              <w:t>Anexo N.° 4. La etapa no</w:t>
            </w:r>
            <w:r w:rsidRPr="00C603B3">
              <w:rPr>
                <w:rFonts w:ascii="Arial" w:eastAsia="Arial" w:hAnsi="Arial" w:cs="Arial"/>
                <w:highlight w:val="green"/>
              </w:rPr>
              <w:t xml:space="preserve"> </w:t>
            </w:r>
            <w:r w:rsidRPr="00C603B3">
              <w:rPr>
                <w:rFonts w:ascii="Arial" w:eastAsia="Arial" w:hAnsi="Arial" w:cs="Arial"/>
                <w:highlight w:val="green"/>
              </w:rPr>
              <w:t>comporta hito de aprobación: la</w:t>
            </w:r>
            <w:r w:rsidRPr="00C603B3">
              <w:rPr>
                <w:rFonts w:ascii="Arial" w:eastAsia="Arial" w:hAnsi="Arial" w:cs="Arial"/>
                <w:highlight w:val="green"/>
              </w:rPr>
              <w:t xml:space="preserve"> </w:t>
            </w:r>
            <w:r w:rsidRPr="00C603B3">
              <w:rPr>
                <w:rFonts w:ascii="Arial" w:eastAsia="Arial" w:hAnsi="Arial" w:cs="Arial"/>
                <w:highlight w:val="green"/>
              </w:rPr>
              <w:t>evaluación del</w:t>
            </w:r>
            <w:r w:rsidRPr="00C603B3">
              <w:rPr>
                <w:rFonts w:ascii="Arial" w:eastAsia="Arial" w:hAnsi="Arial" w:cs="Arial"/>
                <w:highlight w:val="green"/>
              </w:rPr>
              <w:t xml:space="preserve"> </w:t>
            </w:r>
            <w:r w:rsidRPr="00C603B3">
              <w:rPr>
                <w:rFonts w:ascii="Arial" w:eastAsia="Arial" w:hAnsi="Arial" w:cs="Arial"/>
                <w:highlight w:val="green"/>
              </w:rPr>
              <w:t>componente de IA y la aprobación</w:t>
            </w:r>
            <w:r w:rsidRPr="00C603B3">
              <w:rPr>
                <w:rFonts w:ascii="Arial" w:eastAsia="Arial" w:hAnsi="Arial" w:cs="Arial"/>
                <w:highlight w:val="green"/>
              </w:rPr>
              <w:t xml:space="preserve"> </w:t>
            </w:r>
            <w:r w:rsidRPr="00C603B3">
              <w:rPr>
                <w:rFonts w:ascii="Arial" w:eastAsia="Arial" w:hAnsi="Arial" w:cs="Arial"/>
                <w:highlight w:val="green"/>
              </w:rPr>
              <w:t>corresponden</w:t>
            </w:r>
          </w:p>
          <w:p w14:paraId="645D76CA" w14:textId="3C647E2F" w:rsidR="00E67A73" w:rsidRDefault="00C603B3" w:rsidP="00C603B3">
            <w:pPr>
              <w:spacing w:before="20" w:after="20" w:line="276" w:lineRule="auto"/>
              <w:rPr>
                <w:rFonts w:ascii="Arial" w:hAnsi="Arial" w:cs="Arial"/>
              </w:rPr>
            </w:pPr>
            <w:r w:rsidRPr="00C603B3">
              <w:rPr>
                <w:rFonts w:ascii="Arial" w:eastAsia="Arial" w:hAnsi="Arial" w:cs="Arial"/>
                <w:highlight w:val="green"/>
              </w:rPr>
              <w:t>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sidRPr="0054144C">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Aprobación del caso de uso y de su clasificación de riesgo por el CGTD, en un solo acto y</w:t>
            </w:r>
          </w:p>
          <w:p w14:paraId="39CE3A7E" w14:textId="72ECF188" w:rsidR="00E67A73" w:rsidRPr="00C603B3" w:rsidRDefault="00C603B3" w:rsidP="00C603B3">
            <w:pPr>
              <w:spacing w:before="20" w:after="20" w:line="276" w:lineRule="auto"/>
              <w:rPr>
                <w:rFonts w:ascii="Arial" w:hAnsi="Arial" w:cs="Arial"/>
                <w:highlight w:val="green"/>
              </w:rPr>
            </w:pPr>
            <w:r w:rsidRPr="00C603B3">
              <w:rPr>
                <w:rFonts w:ascii="Arial" w:eastAsia="Arial" w:hAnsi="Arial" w:cs="Arial"/>
                <w:highlight w:val="green"/>
              </w:rPr>
              <w:t>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sidRPr="0045319E">
              <w:rPr>
                <w:rFonts w:ascii="Arial" w:eastAsia="Arial" w:hAnsi="Arial" w:cs="Arial"/>
                <w:highlight w:val="green"/>
              </w:rPr>
              <w:t xml:space="preserve">La Gerencia de Arquitectura conduce el diseño de la arquitectura del SBIA y las Divisiones de Arquitectura lo elaboran, conforme al numeral 6.5.1. Se define el mecanismo de supervisión humana, conforme al numeral 6.6. Para los SBIA de </w:t>
            </w:r>
            <w:r w:rsidRPr="0045319E">
              <w:rPr>
                <w:rFonts w:ascii="Arial" w:eastAsia="Arial" w:hAnsi="Arial" w:cs="Arial"/>
                <w:highlight w:val="green"/>
              </w:rPr>
              <w:lastRenderedPageBreak/>
              <w:t>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sidRPr="0045319E">
              <w:rPr>
                <w:rFonts w:ascii="Arial" w:eastAsia="Arial" w:hAnsi="Arial" w:cs="Arial"/>
                <w:highlight w:val="green"/>
              </w:rPr>
              <w:lastRenderedPageBreak/>
              <w:t xml:space="preserve">Aprobación del diseño de la arquitectura de solución por la División de Arquitectura competente según la materia, conforme al numeral 6.5.4. </w:t>
            </w:r>
            <w:r w:rsidR="00EC21E7" w:rsidRPr="00EC21E7">
              <w:rPr>
                <w:rFonts w:ascii="Arial" w:eastAsia="Arial" w:hAnsi="Arial" w:cs="Arial"/>
                <w:highlight w:val="green"/>
              </w:rPr>
              <w:t xml:space="preserve">Para SBIA de riesgo alto, </w:t>
            </w:r>
            <w:r w:rsidR="00EC21E7" w:rsidRPr="00EC21E7">
              <w:rPr>
                <w:rFonts w:ascii="Arial" w:eastAsia="Arial" w:hAnsi="Arial" w:cs="Arial"/>
                <w:highlight w:val="green"/>
              </w:rPr>
              <w:lastRenderedPageBreak/>
              <w:t>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sidRPr="00FA4DEA">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w:t>
            </w:r>
            <w:r w:rsidRPr="00FA4DEA">
              <w:rPr>
                <w:rFonts w:ascii="Arial" w:hAnsi="Arial" w:cs="Arial"/>
                <w:highlight w:val="green"/>
              </w:rPr>
              <w:lastRenderedPageBreak/>
              <w:t>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División de Control de Calidad,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sidRPr="00FA4DEA">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 xml:space="preserve">Retiro del SBIA asegurando la preservación de los registros y la continuidad del servicio. Se </w:t>
            </w:r>
            <w:r>
              <w:rPr>
                <w:rFonts w:ascii="Arial" w:eastAsia="Arial" w:hAnsi="Arial" w:cs="Arial"/>
                <w:highlight w:val="yellow"/>
              </w:rPr>
              <w:lastRenderedPageBreak/>
              <w:t>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conforme al numeral 6.1.2. Actualización del </w:t>
            </w:r>
            <w:r>
              <w:rPr>
                <w:rFonts w:ascii="Arial" w:eastAsia="Arial" w:hAnsi="Arial" w:cs="Arial"/>
                <w:highlight w:val="yellow"/>
              </w:rPr>
              <w:lastRenderedPageBreak/>
              <w:t>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rsidR="00B357D5" w:rsidRPr="00B357D5">
        <w:t xml:space="preserve"> </w:t>
      </w:r>
      <w:r w:rsidR="00B357D5" w:rsidRPr="00B357D5">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w:t>
      </w:r>
      <w:r w:rsidR="00D443F8" w:rsidRPr="00D443F8">
        <w:rPr>
          <w:rFonts w:ascii="Arial" w:hAnsi="Arial" w:cs="Arial"/>
          <w:color w:val="000000"/>
          <w:highlight w:val="green"/>
        </w:rPr>
        <w:t xml:space="preserve"> La Comisión informa al CGTD de las aprobaciones que otorga. </w:t>
      </w:r>
      <w:r w:rsidR="00A3530D" w:rsidRPr="00A3530D">
        <w:rPr>
          <w:rFonts w:ascii="Arial" w:hAnsi="Arial" w:cs="Arial"/>
          <w:color w:val="000000"/>
          <w:highlight w:val="green"/>
        </w:rPr>
        <w:t>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sidR="0037497B" w:rsidRPr="0037497B">
        <w:rPr>
          <w:rFonts w:ascii="Arial" w:eastAsia="Arial" w:hAnsi="Arial" w:cs="Arial"/>
          <w:color w:val="000000"/>
          <w:highlight w:val="green"/>
        </w:rPr>
        <w:t>Los SBIA SaaS (enfoque A) siguen un ciclo de vida abreviado, que comprende cuando menos:</w:t>
      </w:r>
      <w:r w:rsidR="0037497B" w:rsidRPr="0037497B">
        <w:rPr>
          <w:rFonts w:ascii="Arial" w:eastAsia="Arial" w:hAnsi="Arial" w:cs="Arial"/>
          <w:color w:val="000000"/>
          <w:highlight w:val="green"/>
        </w:rPr>
        <w:t xml:space="preserve"> </w:t>
      </w:r>
      <w:r w:rsidRPr="0037497B">
        <w:rPr>
          <w:rFonts w:ascii="Arial" w:eastAsia="Arial" w:hAnsi="Arial" w:cs="Arial"/>
          <w:color w:val="000000"/>
          <w:highlight w:val="green"/>
        </w:rPr>
        <w:t>el registro en el Inventario Institucional de SBIA, la clasificación de riesgo conforme al numeral 6.2 y las verificaciones previstas en el numeral 6.12.</w:t>
      </w:r>
      <w:r w:rsidR="0037497B" w:rsidRPr="0037497B">
        <w:t xml:space="preserve"> </w:t>
      </w:r>
      <w:r w:rsidR="0037497B" w:rsidRPr="0037497B">
        <w:rPr>
          <w:rFonts w:ascii="Arial" w:eastAsia="Arial" w:hAnsi="Arial" w:cs="Arial"/>
          <w:color w:val="000000"/>
          <w:highlight w:val="green"/>
        </w:rPr>
        <w:t>La abreviación alcanza a las etapas del ciclo de vida y no a las obligaciones que la presente directiva impone a todo SBIA conforme a su clasificación de riesgo.</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la recibe. La falta de información </w:t>
      </w:r>
      <w:r w:rsidR="00A84BB6" w:rsidRPr="007B626B">
        <w:rPr>
          <w:rFonts w:ascii="Arial" w:eastAsia="Arial" w:hAnsi="Arial" w:cs="Arial"/>
          <w:color w:val="000000"/>
          <w:highlight w:val="green"/>
        </w:rPr>
        <w:t xml:space="preserve">no es causal de pronunciamiento no favorable. </w:t>
      </w:r>
      <w:r w:rsidR="007B626B" w:rsidRPr="007B626B">
        <w:rPr>
          <w:rFonts w:ascii="Arial" w:eastAsia="Arial" w:hAnsi="Arial" w:cs="Arial"/>
          <w:color w:val="000000"/>
          <w:highlight w:val="green"/>
        </w:rPr>
        <w:t>El pronunciamiento no favorable se fundamenta por escrito y se eleva al CGTD. Cuando invoca el uso indebido o una contravención normativa, el CGTD verifica la causal y, si concurre, deja constancia en acta de que el caso de uso no procede</w:t>
      </w:r>
      <w:r w:rsidR="007B626B">
        <w:rPr>
          <w:rFonts w:ascii="Arial" w:eastAsia="Arial" w:hAnsi="Arial" w:cs="Arial"/>
          <w:color w:val="000000"/>
          <w:highlight w:val="green"/>
        </w:rPr>
        <w:t xml:space="preserve">. </w:t>
      </w:r>
      <w:r w:rsidR="007B626B" w:rsidRPr="007B626B">
        <w:rPr>
          <w:rFonts w:ascii="Arial" w:eastAsia="Arial" w:hAnsi="Arial" w:cs="Arial"/>
          <w:color w:val="000000"/>
          <w:highlight w:val="green"/>
        </w:rPr>
        <w:t>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 xml:space="preserve">La INSI desarrolla y aprueba, </w:t>
      </w:r>
      <w:r w:rsidR="00DF4730" w:rsidRPr="00DF4730">
        <w:rPr>
          <w:rFonts w:ascii="Arial" w:hAnsi="Arial" w:cs="Arial"/>
          <w:color w:val="000000"/>
          <w:highlight w:val="lightGray"/>
        </w:rPr>
        <w:t>conforme a sus competencias, a la METDONI y al numeral 7.6</w:t>
      </w:r>
      <w:r w:rsidR="00DF4730">
        <w:rPr>
          <w:rFonts w:ascii="Arial" w:hAnsi="Arial" w:cs="Arial"/>
          <w:color w:val="000000"/>
          <w:highlight w:val="lightGray"/>
        </w:rPr>
        <w:t xml:space="preserve">, </w:t>
      </w:r>
      <w:r w:rsidR="00166F8B" w:rsidRPr="00166F8B">
        <w:rPr>
          <w:rFonts w:ascii="Arial" w:hAnsi="Arial" w:cs="Arial"/>
          <w:color w:val="000000"/>
          <w:highlight w:val="lightGray"/>
        </w:rPr>
        <w:t>la metodología del ciclo de vida del SBIA previsto en el numeral 6.1.1</w:t>
      </w:r>
      <w:r w:rsidR="00166F8B" w:rsidRPr="0094125C">
        <w:rPr>
          <w:rFonts w:ascii="Arial" w:hAnsi="Arial" w:cs="Arial"/>
          <w:color w:val="000000"/>
          <w:highlight w:val="lightGray"/>
        </w:rPr>
        <w:t>.</w:t>
      </w:r>
      <w:r w:rsidR="00A72414" w:rsidRPr="0094125C">
        <w:rPr>
          <w:rFonts w:ascii="Arial" w:hAnsi="Arial" w:cs="Arial"/>
          <w:color w:val="000000"/>
          <w:highlight w:val="lightGray"/>
        </w:rPr>
        <w:t xml:space="preserve"> </w:t>
      </w:r>
      <w:r w:rsidR="0094125C" w:rsidRPr="0094125C">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w:t>
      </w:r>
      <w:r w:rsidR="0094125C" w:rsidRPr="0094125C">
        <w:rPr>
          <w:rFonts w:ascii="Arial" w:hAnsi="Arial" w:cs="Arial"/>
          <w:color w:val="000000"/>
          <w:highlight w:val="green"/>
        </w:rPr>
        <w:lastRenderedPageBreak/>
        <w:t>acogidas, estas se elevan al CGTD, que se pronuncia con anterioridad a la aprobación.</w:t>
      </w:r>
      <w:r w:rsidR="00166F8B" w:rsidRPr="0094125C">
        <w:rPr>
          <w:rFonts w:ascii="Arial" w:hAnsi="Arial" w:cs="Arial"/>
          <w:color w:val="000000"/>
          <w:highlight w:val="green"/>
        </w:rPr>
        <w:t xml:space="preserve"> </w:t>
      </w:r>
      <w:r w:rsidR="00166F8B" w:rsidRPr="00166F8B">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proofErr w:type="gramStart"/>
      <w:r w:rsidRPr="00F4172E">
        <w:rPr>
          <w:rFonts w:ascii="Arial" w:eastAsia="Arial" w:hAnsi="Arial" w:cs="Arial"/>
          <w:color w:val="000000"/>
          <w:highlight w:val="green"/>
        </w:rPr>
        <w:t xml:space="preserve">6.1.6 </w:t>
      </w:r>
      <w:r w:rsidRPr="00F4172E">
        <w:rPr>
          <w:rFonts w:ascii="Arial" w:eastAsia="Arial" w:hAnsi="Arial" w:cs="Arial"/>
          <w:color w:val="000000"/>
          <w:highlight w:val="green"/>
        </w:rPr>
        <w:t xml:space="preserve"> </w:t>
      </w:r>
      <w:r w:rsidRPr="00F4172E">
        <w:rPr>
          <w:rFonts w:ascii="Arial" w:eastAsia="Arial" w:hAnsi="Arial" w:cs="Arial"/>
          <w:color w:val="000000"/>
          <w:highlight w:val="green"/>
        </w:rPr>
        <w:t>Todo</w:t>
      </w:r>
      <w:proofErr w:type="gramEnd"/>
      <w:r w:rsidRPr="00F4172E">
        <w:rPr>
          <w:rFonts w:ascii="Arial" w:eastAsia="Arial" w:hAnsi="Arial" w:cs="Arial"/>
          <w:color w:val="000000"/>
          <w:highlight w:val="green"/>
        </w:rPr>
        <w:t xml:space="preserve">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w:t>
      </w:r>
      <w:r w:rsidR="00352D87">
        <w:rPr>
          <w:rFonts w:ascii="Arial" w:hAnsi="Arial" w:cs="Arial"/>
          <w:color w:val="000000"/>
          <w:highlight w:val="cyan"/>
        </w:rPr>
        <w:t xml:space="preserve"> </w:t>
      </w:r>
      <w:r w:rsidR="00CA74AD" w:rsidRPr="00CA74AD">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sidRPr="003758C8">
        <w:rPr>
          <w:rFonts w:ascii="Arial" w:eastAsia="Arial" w:hAnsi="Arial" w:cs="Arial"/>
          <w:color w:val="000000"/>
          <w:highlight w:val="green"/>
        </w:rPr>
        <w:t>6.2.2</w:t>
      </w:r>
      <w:r w:rsidRPr="003758C8">
        <w:rPr>
          <w:rFonts w:ascii="Arial" w:eastAsia="Arial" w:hAnsi="Arial" w:cs="Arial"/>
          <w:color w:val="000000"/>
          <w:highlight w:val="green"/>
        </w:rPr>
        <w:tab/>
      </w:r>
      <w:r w:rsidR="003758C8" w:rsidRPr="003758C8">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w:t>
      </w:r>
      <w:r w:rsidR="00CA74AD" w:rsidRPr="00CA74AD">
        <w:rPr>
          <w:rFonts w:ascii="Arial" w:eastAsia="Arial" w:hAnsi="Arial" w:cs="Arial"/>
          <w:highlight w:val="green"/>
        </w:rPr>
        <w:t>En tanto el CGTD no apruebe la clasificación agregada, la propuesta de la Comisión de Gobierno de IA habilita la continuación del ciclo de vida, salvo el despliegue, que requiere la clasificación aprobada.</w:t>
      </w:r>
      <w:r w:rsidR="00CA74AD">
        <w:rPr>
          <w:rFonts w:ascii="Arial" w:eastAsia="Arial" w:hAnsi="Arial" w:cs="Arial"/>
          <w:highlight w:val="green"/>
        </w:rPr>
        <w:t xml:space="preserve"> </w:t>
      </w:r>
      <w:r w:rsidR="003758C8" w:rsidRPr="003758C8">
        <w:rPr>
          <w:rFonts w:ascii="Arial" w:eastAsia="Arial" w:hAnsi="Arial" w:cs="Arial"/>
          <w:highlight w:val="green"/>
        </w:rPr>
        <w:t xml:space="preserve">La clasificación es parte de la </w:t>
      </w:r>
      <w:r w:rsidR="003758C8" w:rsidRPr="003758C8">
        <w:rPr>
          <w:rFonts w:ascii="Arial" w:eastAsia="Arial" w:hAnsi="Arial" w:cs="Arial"/>
          <w:highlight w:val="green"/>
        </w:rPr>
        <w:lastRenderedPageBreak/>
        <w:t>evaluación de viabilidad de acuerdo al ciclo de vida descrito en el 6.1.1. La clasificación aplica los criterios de la Matriz de Clasificación de Riesgos</w:t>
      </w:r>
      <w:r w:rsidR="00565AB1">
        <w:rPr>
          <w:rFonts w:ascii="Arial" w:eastAsia="Arial" w:hAnsi="Arial" w:cs="Arial"/>
          <w:highlight w:val="green"/>
        </w:rPr>
        <w:t xml:space="preserve"> de IA</w:t>
      </w:r>
      <w:r w:rsidR="003758C8" w:rsidRPr="003758C8">
        <w:rPr>
          <w:rFonts w:ascii="Arial" w:eastAsia="Arial" w:hAnsi="Arial" w:cs="Arial"/>
          <w:highlight w:val="green"/>
        </w:rPr>
        <w:t xml:space="preserve">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r>
      <w:r w:rsidR="00E4189E" w:rsidRPr="00E4189E">
        <w:rPr>
          <w:rFonts w:ascii="Arial" w:eastAsia="Arial" w:hAnsi="Arial" w:cs="Arial"/>
          <w:color w:val="000000"/>
          <w:highlight w:val="green"/>
        </w:rPr>
        <w:t>Los controles aplicables a un SBIA se determinan a partir de su clasificación de riesgo y de los criterios establecidos en los numerales 6.6, 6.7.2, 6.9 y 6.10: no se proponen ni se negocian</w:t>
      </w:r>
      <w:r w:rsidR="00A84BB6" w:rsidRPr="00A84BB6">
        <w:rPr>
          <w:rFonts w:ascii="Arial" w:eastAsia="Arial" w:hAnsi="Arial" w:cs="Arial"/>
          <w:color w:val="000000"/>
          <w:highlight w:val="green"/>
        </w:rPr>
        <w:t>.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sidRPr="00EC21E7">
        <w:rPr>
          <w:rFonts w:ascii="Arial" w:eastAsia="Arial" w:hAnsi="Arial" w:cs="Arial"/>
          <w:color w:val="000000"/>
          <w:highlight w:val="green"/>
        </w:rPr>
        <w:t>6.4.1</w:t>
      </w:r>
      <w:r w:rsidRPr="00EC21E7">
        <w:rPr>
          <w:rFonts w:ascii="Arial" w:eastAsia="Arial" w:hAnsi="Arial" w:cs="Arial"/>
          <w:color w:val="000000"/>
          <w:highlight w:val="green"/>
        </w:rPr>
        <w:tab/>
      </w:r>
      <w:r w:rsidR="00EC21E7" w:rsidRPr="00EC21E7">
        <w:rPr>
          <w:rFonts w:ascii="Arial" w:eastAsia="Arial" w:hAnsi="Arial" w:cs="Arial"/>
          <w:color w:val="000000"/>
          <w:highlight w:val="green"/>
        </w:rPr>
        <w:t>Todo SBIA de riesgo alto debe contar con una EIA aprobada por el CGTD previamente al inicio de su desarrollo, adquisición o implementación, conforme al artículo 30 del RLIA</w:t>
      </w:r>
      <w:r w:rsidRPr="00EC21E7">
        <w:rPr>
          <w:rFonts w:ascii="Arial" w:eastAsia="Arial" w:hAnsi="Arial" w:cs="Arial"/>
          <w:color w:val="000000"/>
          <w:highlight w:val="green"/>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sidRPr="00EC21E7">
        <w:rPr>
          <w:rFonts w:ascii="Arial" w:hAnsi="Arial" w:cs="Arial"/>
          <w:color w:val="000000"/>
          <w:highlight w:val="green"/>
        </w:rPr>
        <w:t>6.4.2</w:t>
      </w:r>
      <w:r w:rsidRPr="00EC21E7">
        <w:rPr>
          <w:rFonts w:ascii="Arial" w:hAnsi="Arial" w:cs="Arial"/>
          <w:color w:val="000000"/>
          <w:highlight w:val="green"/>
        </w:rPr>
        <w:tab/>
      </w:r>
      <w:r w:rsidR="00F4172E" w:rsidRPr="00F4172E">
        <w:rPr>
          <w:rFonts w:ascii="Arial" w:hAnsi="Arial" w:cs="Arial"/>
          <w:color w:val="000000"/>
          <w:highlight w:val="green"/>
        </w:rPr>
        <w:t>El propietario del caso de uso elabora la EIA con la participación del equipo técnico multidisciplinario del SBIA previsto en el numeral 6.1.6.</w:t>
      </w:r>
      <w:r w:rsidR="00F4172E">
        <w:rPr>
          <w:rFonts w:ascii="Arial" w:hAnsi="Arial" w:cs="Arial"/>
          <w:color w:val="000000"/>
          <w:highlight w:val="green"/>
        </w:rPr>
        <w:t xml:space="preserve"> </w:t>
      </w:r>
      <w:r w:rsidR="00EC21E7" w:rsidRPr="00EC21E7">
        <w:rPr>
          <w:rFonts w:ascii="Arial" w:hAnsi="Arial" w:cs="Arial"/>
          <w:color w:val="000000"/>
          <w:highlight w:val="green"/>
        </w:rPr>
        <w:t xml:space="preserve">La EIA incorpora los aspectos de negocio (en particular el impacto en el administrado) y los aspectos técnicos. La Comisión de Gobierno de IA, la OII y la INALI la </w:t>
      </w:r>
      <w:r w:rsidR="00EC21E7" w:rsidRPr="00EC21E7">
        <w:rPr>
          <w:rFonts w:ascii="Arial" w:hAnsi="Arial" w:cs="Arial"/>
          <w:color w:val="000000"/>
          <w:highlight w:val="green"/>
        </w:rPr>
        <w:lastRenderedPageBreak/>
        <w:t>revisan.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sidRPr="007F16BF">
        <w:rPr>
          <w:rFonts w:ascii="Arial" w:eastAsia="Arial" w:hAnsi="Arial" w:cs="Arial"/>
          <w:color w:val="000000"/>
          <w:highlight w:val="green"/>
        </w:rPr>
        <w:t>6.4.3</w:t>
      </w:r>
      <w:r w:rsidRPr="007F16BF">
        <w:rPr>
          <w:rFonts w:ascii="Arial" w:eastAsia="Arial" w:hAnsi="Arial" w:cs="Arial"/>
          <w:color w:val="000000"/>
          <w:highlight w:val="green"/>
        </w:rPr>
        <w:tab/>
      </w:r>
      <w:r w:rsidR="007F16BF" w:rsidRPr="007F16BF">
        <w:rPr>
          <w:rFonts w:ascii="Arial" w:eastAsia="Arial" w:hAnsi="Arial" w:cs="Arial"/>
          <w:color w:val="000000"/>
          <w:highlight w:val="green"/>
        </w:rPr>
        <w:t>La Comisión de Gobierno de IA coordina la actualización de la EIA cuando se produzca un cambio significativo conforme al numeral 6.10.5.</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sidRPr="00553A03">
        <w:rPr>
          <w:rFonts w:ascii="Arial" w:eastAsia="Arial" w:hAnsi="Arial" w:cs="Arial"/>
          <w:color w:val="000000"/>
          <w:highlight w:val="green"/>
        </w:rPr>
        <w:t>6.5.1</w:t>
      </w:r>
      <w:r w:rsidRPr="00553A03">
        <w:rPr>
          <w:rFonts w:ascii="Arial" w:eastAsia="Arial" w:hAnsi="Arial" w:cs="Arial"/>
          <w:color w:val="000000"/>
          <w:highlight w:val="green"/>
        </w:rPr>
        <w:tab/>
      </w:r>
      <w:r w:rsidR="00553A03" w:rsidRPr="00553A03">
        <w:rPr>
          <w:rFonts w:ascii="Arial" w:eastAsia="Arial" w:hAnsi="Arial" w:cs="Arial"/>
          <w:color w:val="000000"/>
          <w:highlight w:val="green"/>
        </w:rPr>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sidRPr="0045319E">
        <w:rPr>
          <w:rFonts w:ascii="Arial" w:eastAsia="Arial" w:hAnsi="Arial" w:cs="Arial"/>
          <w:color w:val="000000"/>
          <w:highlight w:val="green"/>
        </w:rPr>
        <w:t>6.5.2</w:t>
      </w:r>
      <w:r w:rsidRPr="0045319E">
        <w:rPr>
          <w:rFonts w:ascii="Arial" w:eastAsia="Arial" w:hAnsi="Arial" w:cs="Arial"/>
          <w:color w:val="000000"/>
          <w:highlight w:val="green"/>
        </w:rPr>
        <w:tab/>
      </w:r>
      <w:r w:rsidR="00651CD0" w:rsidRPr="00651CD0">
        <w:rPr>
          <w:rFonts w:ascii="Arial" w:eastAsia="Arial" w:hAnsi="Arial" w:cs="Arial"/>
          <w:color w:val="000000"/>
          <w:highlight w:val="green"/>
        </w:rPr>
        <w:t>El desarrollo, la adquisición y la adecuación del software de los SBIA se sujetan a las disposiciones y a los estándares técnicos sobre procesos del ciclo de vida del software aplicables a las entidades de la Administración Pública, conforme al numeral 28.6 del artículo 28 del RLIA.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sidRPr="00553A03">
        <w:rPr>
          <w:rFonts w:ascii="Arial" w:eastAsia="Arial" w:hAnsi="Arial" w:cs="Arial"/>
          <w:color w:val="000000"/>
          <w:highlight w:val="green"/>
        </w:rPr>
        <w:t xml:space="preserve">6.5.4   </w:t>
      </w:r>
      <w:r w:rsidR="00553A03" w:rsidRPr="00553A03">
        <w:rPr>
          <w:rFonts w:ascii="Arial" w:eastAsia="Arial" w:hAnsi="Arial" w:cs="Arial"/>
          <w:color w:val="000000"/>
          <w:highlight w:val="green"/>
        </w:rPr>
        <w:t xml:space="preserve">Todo SBIA cuenta con la aprobación del diseño de su arquitectura de solución, previa al inicio del desarrollo, la adquisición o el entrenamiento, conforme a la </w:t>
      </w:r>
      <w:r w:rsidR="00553A03" w:rsidRPr="00553A03">
        <w:rPr>
          <w:rFonts w:ascii="Arial" w:eastAsia="Arial" w:hAnsi="Arial" w:cs="Arial"/>
          <w:color w:val="000000"/>
          <w:highlight w:val="green"/>
        </w:rPr>
        <w:lastRenderedPageBreak/>
        <w:t>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w:t>
      </w:r>
      <w:r w:rsidRPr="00553A03">
        <w:rPr>
          <w:rFonts w:ascii="Arial" w:eastAsia="Arial" w:hAnsi="Arial" w:cs="Arial"/>
          <w:color w:val="000000"/>
          <w:highlight w:val="green"/>
        </w:rPr>
        <w:t xml:space="preserve">. </w:t>
      </w:r>
      <w:r w:rsidRPr="005C3A70">
        <w:rPr>
          <w:rFonts w:ascii="Arial" w:eastAsia="Arial" w:hAnsi="Arial" w:cs="Arial"/>
          <w:color w:val="000000"/>
          <w:highlight w:val="lightGray"/>
        </w:rPr>
        <w:t>Los requisitos derivados del nivel de riesgo aprobado, incluidos los mecanismos de supervisión humana, explicabilidad y trazabilidad, se incorporan como requisitos no funcionales de la solución.</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proporcionales al nivel de riesgo aprobado y al grado de autonomía asignado. </w:t>
      </w:r>
      <w:r w:rsidR="00553A03" w:rsidRPr="00553A03">
        <w:rPr>
          <w:rFonts w:ascii="Arial" w:eastAsia="Arial" w:hAnsi="Arial" w:cs="Arial"/>
          <w:color w:val="000000"/>
          <w:highlight w:val="green"/>
        </w:rPr>
        <w:t xml:space="preserve">El propietario del caso de uso define el alcance de las acciones autorizadas; </w:t>
      </w:r>
      <w:r w:rsidR="00C10D18" w:rsidRPr="00C10D18">
        <w:rPr>
          <w:rFonts w:ascii="Arial" w:eastAsia="Arial" w:hAnsi="Arial" w:cs="Arial"/>
          <w:color w:val="000000"/>
          <w:highlight w:val="green"/>
        </w:rPr>
        <w:t>la División de Arquitectura de Información y de Aplicaciones aprueba el diseño de dichos mecanismos, conforme al literal a) del artículo 132 del ROF, y la División de Arquitectura Tecnológica valida su implementación antes del despliegue, conforme al literal c) del artículo 134 del ROF.</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C718501" w14:textId="7EFAD5DE" w:rsidR="003D4DEA" w:rsidRDefault="005C3A70" w:rsidP="005C3A70">
      <w:pPr>
        <w:spacing w:after="60" w:line="276" w:lineRule="auto"/>
        <w:ind w:left="1276" w:hanging="720"/>
        <w:jc w:val="both"/>
        <w:rPr>
          <w:rFonts w:ascii="Arial" w:eastAsia="Arial" w:hAnsi="Arial" w:cs="Arial"/>
          <w:color w:val="000000"/>
        </w:rPr>
      </w:pPr>
      <w:r w:rsidRPr="001E0BE5">
        <w:rPr>
          <w:rFonts w:ascii="Arial" w:eastAsia="Arial" w:hAnsi="Arial" w:cs="Arial"/>
          <w:color w:val="000000"/>
          <w:highlight w:val="green"/>
        </w:rPr>
        <w:t xml:space="preserve">6.5.7   La publicación del código fuente de los SBIA financiados con fondos públicos, </w:t>
      </w:r>
      <w:r w:rsidR="001E0BE5" w:rsidRPr="001E0BE5">
        <w:rPr>
          <w:rFonts w:ascii="Arial" w:eastAsia="Arial" w:hAnsi="Arial" w:cs="Arial"/>
          <w:color w:val="000000"/>
          <w:highlight w:val="green"/>
        </w:rPr>
        <w:t>con licencia libre o abierta en la Plataforma Nacional de Software Público Peruano (PNSSP), prevista en el numeral 28.8 del artículo 28 del RLIA, se sujeta a la determinación previa de su publicabilidad.</w:t>
      </w:r>
      <w:r w:rsidR="001E0BE5">
        <w:rPr>
          <w:rFonts w:ascii="Arial" w:eastAsia="Arial" w:hAnsi="Arial" w:cs="Arial"/>
          <w:color w:val="000000"/>
        </w:rPr>
        <w:t xml:space="preserve"> </w:t>
      </w:r>
      <w:r w:rsidR="005B3F5B" w:rsidRPr="005B3F5B">
        <w:rPr>
          <w:rFonts w:ascii="Arial" w:eastAsia="Arial" w:hAnsi="Arial" w:cs="Arial"/>
          <w:color w:val="000000"/>
          <w:highlight w:val="green"/>
        </w:rPr>
        <w:t>Dicha determinación verifica que el código no revele información sujeta a reserva tributaria conforme al artículo 85 del TUO del Código Tributario. Verifica asimismo que no revele reglas de detección de riesgo cuya divulgación comprometa la función de control, con la opinión de la INALI en materia de cumplimiento normativo y de la Intendencia Nacional Jurídico Tributaria o de la Intendencia Nacional Jurídico Aduanera, según la materia.</w:t>
      </w:r>
      <w:r w:rsidR="005B3F5B" w:rsidRPr="005B3F5B">
        <w:rPr>
          <w:rFonts w:ascii="Arial" w:eastAsia="Arial" w:hAnsi="Arial" w:cs="Arial"/>
          <w:color w:val="000000"/>
          <w:highlight w:val="green"/>
        </w:rPr>
        <w:t xml:space="preserve"> </w:t>
      </w:r>
      <w:r w:rsidR="001E0BE5" w:rsidRPr="005B3F5B">
        <w:rPr>
          <w:rFonts w:ascii="Arial" w:eastAsia="Arial" w:hAnsi="Arial" w:cs="Arial"/>
          <w:color w:val="000000"/>
          <w:highlight w:val="green"/>
        </w:rPr>
        <w:t xml:space="preserve">La </w:t>
      </w:r>
      <w:r w:rsidR="001E0BE5" w:rsidRPr="001E0BE5">
        <w:rPr>
          <w:rFonts w:ascii="Arial" w:eastAsia="Arial" w:hAnsi="Arial" w:cs="Arial"/>
          <w:color w:val="000000"/>
          <w:highlight w:val="green"/>
        </w:rPr>
        <w:t xml:space="preserve">GA, con opinión de la INALI y de la Oficina de Seguridad Informática, determina la publicabilidad antes de cada liberación mayor y, en todo caso, con ocasión de la revisión integral anual del Inventario Institucional de SBIA prevista en el numeral 6.3.2; </w:t>
      </w:r>
      <w:r w:rsidR="005B3F5B" w:rsidRPr="005B3F5B">
        <w:rPr>
          <w:rFonts w:ascii="Arial" w:eastAsia="Arial" w:hAnsi="Arial" w:cs="Arial"/>
          <w:color w:val="000000"/>
          <w:highlight w:val="green"/>
        </w:rPr>
        <w:t xml:space="preserve">la GDS pone a disposición el código fuente cuya publicación se haya determinado procedente, conforme a los mecanismos que establezca la Plataforma Nacional de Software Público </w:t>
      </w:r>
      <w:r w:rsidR="005B3F5B" w:rsidRPr="005B3F5B">
        <w:rPr>
          <w:rFonts w:ascii="Arial" w:eastAsia="Arial" w:hAnsi="Arial" w:cs="Arial"/>
          <w:color w:val="000000"/>
          <w:highlight w:val="green"/>
        </w:rPr>
        <w:lastRenderedPageBreak/>
        <w:t>Peruano</w:t>
      </w:r>
      <w:r w:rsidR="001E0BE5" w:rsidRPr="001E0BE5">
        <w:rPr>
          <w:rFonts w:ascii="Arial" w:eastAsia="Arial" w:hAnsi="Arial" w:cs="Arial"/>
          <w:color w:val="000000"/>
          <w:highlight w:val="green"/>
        </w:rPr>
        <w:t>. La determinación y su resultado constan en la Ficha de Registro de SBIA (Anexo N.° 1) y, cuando el código no resulte publicable, se consigna igualmente la justificación legal de la restricción.</w:t>
      </w:r>
      <w:r w:rsidR="001E0BE5" w:rsidRPr="001E0BE5">
        <w:rPr>
          <w:rFonts w:ascii="Arial" w:eastAsia="Arial" w:hAnsi="Arial" w:cs="Arial"/>
          <w:color w:val="000000"/>
          <w:highlight w:val="green"/>
        </w:rPr>
        <w:t xml:space="preserve"> </w:t>
      </w:r>
      <w:r w:rsidR="003D4DEA" w:rsidRPr="003D4DEA">
        <w:rPr>
          <w:rFonts w:ascii="Arial" w:eastAsia="Arial" w:hAnsi="Arial" w:cs="Arial"/>
          <w:color w:val="000000"/>
          <w:highlight w:val="green"/>
        </w:rPr>
        <w:t>Cuando la determinación comprenda el sentido y el alcance de las normas tributarias o aduaneras, la GA solicita la opinión de la Intendencia Nacional Jurídico Tributaria o de la Intendencia Nacional Jurídico Aduanera, según la materia.</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w:t>
      </w:r>
      <w:r w:rsidR="007216B6" w:rsidRPr="007216B6">
        <w:rPr>
          <w:rFonts w:ascii="Arial" w:eastAsia="Arial" w:hAnsi="Arial" w:cs="Arial"/>
          <w:color w:val="000000"/>
          <w:highlight w:val="green"/>
        </w:rPr>
        <w:t>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r>
      <w:r>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sidRPr="00D37B6E">
        <w:rPr>
          <w:rFonts w:ascii="Arial" w:eastAsia="Arial" w:hAnsi="Arial" w:cs="Arial"/>
          <w:color w:val="000000"/>
          <w:highlight w:val="green"/>
        </w:rPr>
        <w:t>6.6.1</w:t>
      </w:r>
      <w:r w:rsidRPr="00D37B6E">
        <w:rPr>
          <w:rFonts w:ascii="Arial" w:eastAsia="Arial" w:hAnsi="Arial" w:cs="Arial"/>
          <w:color w:val="000000"/>
          <w:highlight w:val="green"/>
        </w:rPr>
        <w:tab/>
      </w:r>
      <w:r w:rsidR="00D37B6E" w:rsidRPr="00D37B6E">
        <w:rPr>
          <w:rFonts w:ascii="Arial" w:eastAsia="Arial" w:hAnsi="Arial" w:cs="Arial"/>
          <w:color w:val="000000"/>
          <w:highlight w:val="green"/>
        </w:rPr>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sidRPr="00790E37">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lastRenderedPageBreak/>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sidRPr="001222E1">
        <w:rPr>
          <w:rFonts w:ascii="Arial" w:hAnsi="Arial" w:cs="Arial"/>
          <w:highlight w:val="green"/>
        </w:rPr>
        <w:t xml:space="preserve">Política </w:t>
      </w:r>
      <w:r w:rsidR="001222E1" w:rsidRPr="001222E1">
        <w:rPr>
          <w:rFonts w:ascii="Arial" w:hAnsi="Arial" w:cs="Arial"/>
          <w:highlight w:val="green"/>
        </w:rPr>
        <w:t>de IA</w:t>
      </w:r>
      <w:r w:rsidRPr="001222E1">
        <w:rPr>
          <w:rFonts w:ascii="Arial" w:eastAsia="Arial" w:hAnsi="Arial" w:cs="Arial"/>
          <w:color w:val="000000"/>
          <w:highlight w:val="green"/>
        </w:rPr>
        <w:t>.</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 xml:space="preserve">Los SBIA cumplen la Política de Seguridad de la Información (SGSI-PO-01) y el Manual de Políticas del Sistema de Gestión de Seguridad de la Información (SGSI-MA-03) de la SUNAT, en sus versiones vigentes, que </w:t>
      </w:r>
      <w:proofErr w:type="gramStart"/>
      <w:r w:rsidR="008776A6" w:rsidRPr="008776A6">
        <w:rPr>
          <w:rFonts w:ascii="Arial" w:eastAsia="Arial" w:hAnsi="Arial" w:cs="Arial"/>
          <w:color w:val="000000"/>
          <w:highlight w:val="green"/>
        </w:rPr>
        <w:t>son de aplicación</w:t>
      </w:r>
      <w:proofErr w:type="gramEnd"/>
      <w:r w:rsidR="008776A6" w:rsidRPr="008776A6">
        <w:rPr>
          <w:rFonts w:ascii="Arial" w:eastAsia="Arial" w:hAnsi="Arial" w:cs="Arial"/>
          <w:color w:val="000000"/>
          <w:highlight w:val="green"/>
        </w:rPr>
        <w:t xml:space="preserve">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sidRPr="00CE10DF">
        <w:rPr>
          <w:rFonts w:ascii="Arial" w:eastAsia="Arial" w:hAnsi="Arial" w:cs="Arial"/>
          <w:color w:val="000000"/>
          <w:highlight w:val="green"/>
        </w:rPr>
        <w:t>6.7.2</w:t>
      </w:r>
      <w:r w:rsidRPr="00CE10DF">
        <w:rPr>
          <w:rFonts w:ascii="Arial" w:eastAsia="Arial" w:hAnsi="Arial" w:cs="Arial"/>
          <w:color w:val="000000"/>
          <w:highlight w:val="green"/>
        </w:rPr>
        <w:tab/>
      </w:r>
      <w:r w:rsidR="00CE10DF" w:rsidRPr="00CE10DF">
        <w:rPr>
          <w:rFonts w:ascii="Arial" w:eastAsia="Arial" w:hAnsi="Arial" w:cs="Arial"/>
          <w:color w:val="000000"/>
          <w:highlight w:val="green"/>
        </w:rPr>
        <w:t xml:space="preserve">Para los SBIA de riesgo alto y para los SBIA de riesgo aceptable que interactúen directamente con el administrado, incorporen componentes generativos o procesen datos personales o información sujeta a reserva tributaria, </w:t>
      </w:r>
      <w:r w:rsidR="002D1BB4" w:rsidRPr="002D1BB4">
        <w:rPr>
          <w:rFonts w:ascii="Arial" w:eastAsia="Arial" w:hAnsi="Arial" w:cs="Arial"/>
          <w:color w:val="000000"/>
          <w:highlight w:val="green"/>
        </w:rPr>
        <w:t>el custodio técnico implementa como mínimo:</w:t>
      </w:r>
      <w:r w:rsidR="002D1BB4">
        <w:rPr>
          <w:rFonts w:ascii="Arial" w:eastAsia="Arial" w:hAnsi="Arial" w:cs="Arial"/>
          <w:color w:val="000000"/>
          <w:highlight w:val="green"/>
        </w:rPr>
        <w:t xml:space="preserve"> </w:t>
      </w:r>
      <w:r>
        <w:rPr>
          <w:rFonts w:ascii="Arial" w:eastAsia="Arial" w:hAnsi="Arial" w:cs="Arial"/>
          <w:color w:val="000000"/>
          <w:highlight w:val="yellow"/>
        </w:rPr>
        <w:t xml:space="preserve">controles de contención (guardrails) de entrada y salida; controles de acceso basados en roles (RBAC); registro inmutable de auditoría (logs) de todas las interacciones; </w:t>
      </w:r>
      <w:r w:rsidR="002D1BB4" w:rsidRPr="002D1BB4">
        <w:rPr>
          <w:rFonts w:ascii="Arial" w:eastAsia="Arial" w:hAnsi="Arial" w:cs="Arial"/>
          <w:color w:val="000000"/>
          <w:highlight w:val="yellow"/>
        </w:rPr>
        <w:t>evaluación de vulnerabilidades conforme al OWASP Top 10 para aplicaciones LLM, en la versión que determine el documento normativo del numeral 6.7.7</w:t>
      </w:r>
      <w:r>
        <w:rPr>
          <w:rFonts w:ascii="Arial" w:eastAsia="Arial" w:hAnsi="Arial" w:cs="Arial"/>
          <w:color w:val="000000"/>
          <w:highlight w:val="yellow"/>
        </w:rPr>
        <w:t>;</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w:t>
      </w:r>
      <w:r w:rsidR="002D1BB4" w:rsidRPr="002D1BB4">
        <w:t xml:space="preserve"> </w:t>
      </w:r>
      <w:r w:rsidR="002D1BB4" w:rsidRPr="002D1BB4">
        <w:rPr>
          <w:rFonts w:ascii="Arial" w:eastAsia="Arial" w:hAnsi="Arial" w:cs="Arial"/>
          <w:color w:val="000000"/>
          <w:highlight w:val="green"/>
        </w:rPr>
        <w:t xml:space="preserve">Su implementación se verifica en el hito de aprobación previo </w:t>
      </w:r>
      <w:r w:rsidR="002D1BB4" w:rsidRPr="002D1BB4">
        <w:rPr>
          <w:rFonts w:ascii="Arial" w:eastAsia="Arial" w:hAnsi="Arial" w:cs="Arial"/>
          <w:color w:val="000000"/>
          <w:highlight w:val="green"/>
        </w:rPr>
        <w:lastRenderedPageBreak/>
        <w:t>al despliegue, conforme al numeral 6.2.5, y se registra en la Ficha de Registro de SBIA (Anexo N.° 1).</w:t>
      </w:r>
      <w:r w:rsidRPr="002D1BB4">
        <w:rPr>
          <w:rFonts w:ascii="Arial" w:eastAsia="Arial" w:hAnsi="Arial" w:cs="Arial"/>
          <w:color w:val="000000"/>
          <w:highlight w:val="green"/>
        </w:rPr>
        <w:t xml:space="preserve"> </w:t>
      </w:r>
      <w:r>
        <w:rPr>
          <w:rFonts w:ascii="Arial" w:eastAsia="Arial" w:hAnsi="Arial" w:cs="Arial"/>
          <w:color w:val="000000"/>
          <w:highlight w:val="yellow"/>
        </w:rPr>
        <w:t>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sidRPr="00975D3B">
        <w:rPr>
          <w:rFonts w:ascii="Arial" w:eastAsia="Arial" w:hAnsi="Arial" w:cs="Arial"/>
          <w:color w:val="000000"/>
          <w:highlight w:val="green"/>
        </w:rPr>
        <w:t xml:space="preserve"> </w:t>
      </w:r>
      <w:r w:rsidR="00CE10DF" w:rsidRPr="00CE10DF">
        <w:rPr>
          <w:rFonts w:ascii="Arial" w:eastAsia="Arial" w:hAnsi="Arial" w:cs="Arial"/>
          <w:color w:val="000000"/>
          <w:highlight w:val="green"/>
        </w:rPr>
        <w:t>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w:t>
      </w:r>
      <w:r w:rsidR="00806D68" w:rsidRPr="00806D68">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rsidR="005C21BA" w:rsidRPr="005C21BA">
        <w:t xml:space="preserve"> </w:t>
      </w:r>
      <w:r w:rsidR="005C21BA" w:rsidRPr="005C21BA">
        <w:rPr>
          <w:rFonts w:ascii="Arial" w:eastAsia="Arial" w:hAnsi="Arial" w:cs="Arial"/>
          <w:color w:val="000000"/>
          <w:highlight w:val="green"/>
        </w:rPr>
        <w:t xml:space="preserve">La Gerencia de Operaciones y Soporte a Usuarios adecúa el Procedimiento de Gestión de Incidentes (A-03.1.1-PR-002) para comprender los incidentes propios del SBIA y su criterio de cierre, conforme al numeral 7.6 de la presente directiva. En tanto no se apruebe dicha adecuación, estos </w:t>
      </w:r>
      <w:r w:rsidR="005C21BA" w:rsidRPr="005C21BA">
        <w:rPr>
          <w:rFonts w:ascii="Arial" w:eastAsia="Arial" w:hAnsi="Arial" w:cs="Arial"/>
          <w:color w:val="000000"/>
          <w:highlight w:val="green"/>
        </w:rPr>
        <w:lastRenderedPageBreak/>
        <w:t>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6.7.7</w:t>
      </w:r>
      <w:r w:rsidRPr="00AF13D8">
        <w:rPr>
          <w:rFonts w:ascii="Arial" w:eastAsia="Arial" w:hAnsi="Arial" w:cs="Arial"/>
          <w:color w:val="000000"/>
          <w:highlight w:val="green"/>
        </w:rPr>
        <w:tab/>
      </w:r>
      <w:r w:rsidR="00AF13D8" w:rsidRPr="00AF13D8">
        <w:rPr>
          <w:rFonts w:ascii="Arial" w:eastAsia="Arial" w:hAnsi="Arial" w:cs="Arial"/>
          <w:color w:val="000000"/>
          <w:highlight w:val="green"/>
        </w:rPr>
        <w:t>La Oficina de Seguridad Informática elabora y propone el documento normativo de seguridad</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informática para SBIA, que desarrolla la forma de implementar y verificar los controles del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numeral 6.7.2 y la periodicidad de las pruebas de vulnerabilidad y del red teaming, conforme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al artículo 106, literales a) y c), del ROF</w:t>
      </w:r>
      <w:r w:rsidR="00366BA4">
        <w:rPr>
          <w:rFonts w:ascii="Arial" w:eastAsia="Arial" w:hAnsi="Arial" w:cs="Arial"/>
          <w:color w:val="000000"/>
          <w:highlight w:val="green"/>
        </w:rPr>
        <w:t xml:space="preserve">. Su </w:t>
      </w:r>
      <w:r w:rsidR="005D216F" w:rsidRPr="005D216F">
        <w:rPr>
          <w:rFonts w:ascii="Arial" w:eastAsia="Arial" w:hAnsi="Arial" w:cs="Arial"/>
          <w:color w:val="000000"/>
          <w:highlight w:val="green"/>
        </w:rPr>
        <w:t>aprobación se efectúa conforme al numeral 7.6.</w:t>
      </w:r>
      <w:r w:rsidR="00AF13D8">
        <w:rPr>
          <w:rFonts w:ascii="Arial" w:eastAsia="Arial" w:hAnsi="Arial" w:cs="Arial"/>
          <w:color w:val="000000"/>
          <w:highlight w:val="green"/>
        </w:rPr>
        <w:t xml:space="preserve">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proofErr w:type="gramStart"/>
      <w:r w:rsidRPr="00AF13D8">
        <w:rPr>
          <w:rFonts w:ascii="Arial" w:eastAsia="Arial" w:hAnsi="Arial" w:cs="Arial"/>
          <w:color w:val="000000"/>
          <w:highlight w:val="green"/>
        </w:rPr>
        <w:t xml:space="preserve">6.7.8 </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El</w:t>
      </w:r>
      <w:proofErr w:type="gramEnd"/>
      <w:r w:rsidR="00AF13D8" w:rsidRPr="00AF13D8">
        <w:rPr>
          <w:rFonts w:ascii="Arial" w:eastAsia="Arial" w:hAnsi="Arial" w:cs="Arial"/>
          <w:color w:val="000000"/>
          <w:highlight w:val="green"/>
        </w:rPr>
        <w:t xml:space="preserve"> propietario del caso de uso, con el custodio técnico del SBIA, define el tratamiento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conservación y eliminación de las instrucciones (prompt), respuestas, contextos,</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representaciones vectoriales (embeddings), registros de interacción y demás información que 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SBIA genere o procese durante su operación. El plazo de conservación se determina en función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del nivel de riesgo del SBIA, del valor probatorio de la información, de su sensibilidad y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los requisitos de auditoría aplicables, y observa la normativa institucional de gestión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documental y archivo que resulte aplicable. La conservación, el acceso y el uso de dicha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información observan la reserva tributaria conforme al artículo 85 del TUO del Código</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Tributario y la normativa sobre protección de datos personales. El respaldo de la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infraestructura tecnológica en la que reside dicha información, así como la custodia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disponibilidad de los medios correspondientes, están a cargo de la División de Soporte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Operación de la Infraestructura Tecnológica, conforme al literal b) del artículo 138 del ROF,</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y observan lo dispuesto en el numeral 6.7.1.</w:t>
      </w:r>
    </w:p>
    <w:p w14:paraId="36612602" w14:textId="22353745" w:rsidR="00931E16" w:rsidRDefault="00931E16" w:rsidP="00AF13D8">
      <w:pPr>
        <w:pStyle w:val="SubtituloDONI"/>
        <w:spacing w:line="276" w:lineRule="auto"/>
        <w:ind w:left="851"/>
      </w:pPr>
      <w:r w:rsidRPr="00AF13D8">
        <w:t>6.8</w:t>
      </w:r>
      <w:r w:rsidRPr="00AF13D8">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sidRPr="00EC79A5">
        <w:rPr>
          <w:rFonts w:ascii="Arial" w:eastAsia="Arial" w:hAnsi="Arial" w:cs="Arial"/>
          <w:color w:val="000000"/>
          <w:highlight w:val="green"/>
        </w:rPr>
        <w:lastRenderedPageBreak/>
        <w:t>6.8.3</w:t>
      </w:r>
      <w:r w:rsidRPr="00EC79A5">
        <w:rPr>
          <w:rFonts w:ascii="Arial" w:eastAsia="Arial" w:hAnsi="Arial" w:cs="Arial"/>
          <w:color w:val="000000"/>
          <w:highlight w:val="green"/>
        </w:rPr>
        <w:tab/>
      </w:r>
      <w:r w:rsidR="00EC79A5" w:rsidRPr="00EC79A5">
        <w:rPr>
          <w:rFonts w:ascii="Arial" w:eastAsia="Arial" w:hAnsi="Arial" w:cs="Arial"/>
          <w:color w:val="000000"/>
          <w:highlight w:val="green"/>
        </w:rPr>
        <w:t>El uso de datos protegidos por la reserva tributaria para el desarrollo, entrenamiento o validación de un SBIA requiere la determinación previa de su base legal, conforme al artículo 85 del TUO del Código Tributario.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sidRPr="00E207DD">
        <w:rPr>
          <w:rFonts w:ascii="Arial" w:eastAsia="Arial" w:hAnsi="Arial" w:cs="Arial"/>
          <w:color w:val="000000"/>
          <w:highlight w:val="green"/>
        </w:rPr>
        <w:t xml:space="preserve">6.8.5   </w:t>
      </w:r>
      <w:r w:rsidR="00E207DD" w:rsidRPr="00E207DD">
        <w:rPr>
          <w:rFonts w:ascii="Arial" w:eastAsia="Arial" w:hAnsi="Arial" w:cs="Arial"/>
          <w:color w:val="000000"/>
          <w:highlight w:val="green"/>
        </w:rPr>
        <w:t>Los conjuntos de datos que la SUNAT genere o administre y que califiquen como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se ponen a disposición a través del Centro Nacional de Datos (CND), conforme al numeral</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28.7 del artículo 28 del </w:t>
      </w:r>
      <w:r w:rsidR="002D1BB4">
        <w:rPr>
          <w:rFonts w:ascii="Arial" w:eastAsia="Arial" w:hAnsi="Arial" w:cs="Arial"/>
          <w:color w:val="000000"/>
          <w:highlight w:val="green"/>
        </w:rPr>
        <w:t>RLIA</w:t>
      </w:r>
      <w:r w:rsidR="00E207DD" w:rsidRPr="00E207DD">
        <w:rPr>
          <w:rFonts w:ascii="Arial" w:eastAsia="Arial" w:hAnsi="Arial" w:cs="Arial"/>
          <w:color w:val="000000"/>
          <w:highlight w:val="green"/>
        </w:rPr>
        <w:t>. La calificación se efectúa conforme a los lineamientos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nacionales para la identificación de Datos de Alto Valor que emita la SGTD en aplicación de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Estrategia Nacional de Gobierno de Datos; en tanto no se emitan, el OGD aplica los criterios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de priorización que dicha Estrategia enuncia para la publicación obligatoria de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carácter estratégico, interés nacional, planificación y gestión territorial o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impacto social. El OGD identifica anualmente los conjuntos candidatos, determina su</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publicabilidad y propone al CGTD su publicación. La determinación de publicabilidad aplica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reserva tributaria conforme al artículo 85 del TUO del Código Tributario, incluidas sus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excepciones expresas </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entre ellas la publicación de datos estadísticos de carácter global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 permita la individualización de declaraciones, informaciones, cuentas o personas</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 y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normativa sobre protección de datos personales. Cuando un conjunto no resulte publicable,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justificación legal de la restricción consta igualmente en el acuerdo del CGTD. Aprobada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publicación, el OGD coordina la puesta a disposición con la unidad de organización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sidRPr="00641EAF">
        <w:rPr>
          <w:rFonts w:ascii="Arial" w:eastAsia="Arial" w:hAnsi="Arial" w:cs="Arial"/>
          <w:color w:val="000000"/>
          <w:highlight w:val="green"/>
        </w:rPr>
        <w:t xml:space="preserve">6.8.6   </w:t>
      </w:r>
      <w:r w:rsidR="00641EAF" w:rsidRPr="00641EAF">
        <w:rPr>
          <w:rFonts w:ascii="Arial" w:eastAsia="Arial" w:hAnsi="Arial" w:cs="Arial"/>
          <w:color w:val="000000"/>
          <w:highlight w:val="green"/>
        </w:rPr>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r>
      <w:r>
        <w:rPr>
          <w:rFonts w:ascii="Arial" w:eastAsia="Arial" w:hAnsi="Arial" w:cs="Arial"/>
          <w:color w:val="000000"/>
          <w:highlight w:val="yellow"/>
        </w:rPr>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sidR="00E151B6" w:rsidRPr="00E151B6">
        <w:rPr>
          <w:rFonts w:ascii="Times New Roman" w:eastAsia="Times New Roman" w:hAnsi="Times New Roman" w:cs="Times New Roman"/>
          <w:caps/>
          <w:sz w:val="24"/>
          <w:szCs w:val="24"/>
        </w:rPr>
        <w:t xml:space="preserve"> </w:t>
      </w:r>
      <w:r w:rsidR="00E151B6" w:rsidRPr="00E151B6">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w:t>
      </w:r>
      <w:r w:rsidR="005B3F5B" w:rsidRPr="005B3F5B">
        <w:t xml:space="preserve"> </w:t>
      </w:r>
      <w:r w:rsidR="005B3F5B" w:rsidRPr="005B3F5B">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La relevancia se determina para cada SBIA y su resultado consta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rsidR="00E151B6" w:rsidRPr="00E151B6">
        <w:t xml:space="preserve"> </w:t>
      </w:r>
      <w:r w:rsidR="00E151B6" w:rsidRPr="00E151B6">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sidRPr="00C23E72">
        <w:rPr>
          <w:rFonts w:ascii="Arial" w:eastAsia="Arial" w:hAnsi="Arial" w:cs="Arial"/>
          <w:color w:val="000000"/>
          <w:highlight w:val="green"/>
        </w:rPr>
        <w:t xml:space="preserve">6.9.5 </w:t>
      </w:r>
      <w:r w:rsidRPr="00C23E72">
        <w:rPr>
          <w:rFonts w:ascii="Arial" w:eastAsia="Arial" w:hAnsi="Arial" w:cs="Arial"/>
          <w:color w:val="000000"/>
          <w:highlight w:val="green"/>
        </w:rPr>
        <w:t xml:space="preserve">   </w:t>
      </w:r>
      <w:r w:rsidRPr="00C23E72">
        <w:rPr>
          <w:rFonts w:ascii="Arial" w:eastAsia="Arial" w:hAnsi="Arial" w:cs="Arial"/>
          <w:color w:val="000000"/>
          <w:highlight w:val="green"/>
        </w:rPr>
        <w:t>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sidRPr="00485890">
        <w:rPr>
          <w:rFonts w:ascii="Arial" w:eastAsia="Arial" w:hAnsi="Arial" w:cs="Arial"/>
          <w:color w:val="000000"/>
          <w:highlight w:val="green"/>
        </w:rPr>
        <w:t>6.9.6</w:t>
      </w:r>
      <w:r w:rsidRPr="00485890">
        <w:rPr>
          <w:rFonts w:ascii="Arial" w:eastAsia="Arial" w:hAnsi="Arial" w:cs="Arial"/>
          <w:color w:val="000000"/>
          <w:highlight w:val="green"/>
        </w:rPr>
        <w:tab/>
      </w:r>
      <w:r w:rsidR="00485890" w:rsidRPr="00485890">
        <w:rPr>
          <w:rFonts w:ascii="Arial" w:eastAsia="Arial" w:hAnsi="Arial" w:cs="Arial"/>
          <w:color w:val="000000"/>
          <w:highlight w:val="green"/>
        </w:rPr>
        <w:t xml:space="preserve">El estado del gobierno de IA institucional se informa como sección del informe de seguimiento del Plan de Gobierno Digital que presenta el CGTD, </w:t>
      </w:r>
      <w:r w:rsidR="00C462BD" w:rsidRPr="00C462BD">
        <w:rPr>
          <w:rFonts w:ascii="Arial" w:eastAsia="Arial" w:hAnsi="Arial" w:cs="Arial"/>
          <w:color w:val="000000"/>
          <w:highlight w:val="green"/>
        </w:rPr>
        <w:t xml:space="preserve">con la </w:t>
      </w:r>
      <w:r w:rsidR="00C462BD" w:rsidRPr="00C462BD">
        <w:rPr>
          <w:rFonts w:ascii="Arial" w:eastAsia="Arial" w:hAnsi="Arial" w:cs="Arial"/>
          <w:color w:val="000000"/>
          <w:highlight w:val="green"/>
        </w:rPr>
        <w:lastRenderedPageBreak/>
        <w:t>periodicidad y por el conducto que dicho instrumento establece, conforme al numeral 28.10 del artículo 28 del RLIA</w:t>
      </w:r>
      <w:r w:rsidR="00485890" w:rsidRPr="00485890">
        <w:rPr>
          <w:rFonts w:ascii="Arial" w:eastAsia="Arial" w:hAnsi="Arial" w:cs="Arial"/>
          <w:color w:val="000000"/>
          <w:highlight w:val="green"/>
        </w:rPr>
        <w:t>.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sidRPr="00975D3B">
        <w:rPr>
          <w:rFonts w:ascii="Arial" w:eastAsia="Arial" w:hAnsi="Arial" w:cs="Arial"/>
          <w:color w:val="000000"/>
          <w:highlight w:val="green"/>
        </w:rPr>
        <w:t>6.10.1</w:t>
      </w:r>
      <w:r w:rsidRPr="00975D3B">
        <w:rPr>
          <w:rFonts w:ascii="Arial" w:eastAsia="Arial" w:hAnsi="Arial" w:cs="Arial"/>
          <w:color w:val="000000"/>
          <w:highlight w:val="green"/>
        </w:rPr>
        <w:tab/>
      </w:r>
      <w:r w:rsidR="00975D3B" w:rsidRPr="00975D3B">
        <w:rPr>
          <w:rFonts w:ascii="Arial" w:eastAsia="Arial" w:hAnsi="Arial" w:cs="Arial"/>
          <w:color w:val="000000"/>
          <w:highlight w:val="green"/>
        </w:rPr>
        <w:t xml:space="preserve">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w:t>
      </w:r>
      <w:r w:rsidR="0034493F" w:rsidRPr="0034493F">
        <w:rPr>
          <w:rFonts w:ascii="Arial" w:eastAsia="Arial" w:hAnsi="Arial" w:cs="Arial"/>
          <w:color w:val="000000"/>
          <w:highlight w:val="green"/>
        </w:rPr>
        <w:t>La frecuencia determinada, los indicadores aplicables conforme al numeral 6.10.2, sus umbrales y los responsables de la medición constan en el plan de monitoreo del SBIA, que la Comisión de Gobierno de IA aprueba con anterioridad a su puesta en producción</w:t>
      </w:r>
      <w:r w:rsidR="00975D3B" w:rsidRPr="00975D3B">
        <w:rPr>
          <w:rFonts w:ascii="Arial" w:eastAsia="Arial" w:hAnsi="Arial" w:cs="Arial"/>
          <w:color w:val="000000"/>
          <w:highlight w:val="green"/>
        </w:rPr>
        <w:t>.</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sidRPr="00975D3B">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sidRPr="00975D3B">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 xml:space="preserve">La Comisión de Gobierno de IA define, para cada SBIA registrado en el Inventario, los indicadores de monitoreo que como mínimo incluyen: tasa de precisión, tasa de error, tiempo de respuesta, disponibilidad, detección de drift, indicadores de sesgo y tasa de intervención </w:t>
      </w:r>
      <w:r w:rsidRPr="0034493F">
        <w:rPr>
          <w:rFonts w:ascii="Arial" w:eastAsia="Arial" w:hAnsi="Arial" w:cs="Arial"/>
          <w:color w:val="000000"/>
          <w:highlight w:val="green"/>
        </w:rPr>
        <w:t xml:space="preserve">humana. </w:t>
      </w:r>
      <w:r w:rsidR="0034493F" w:rsidRPr="0034493F">
        <w:rPr>
          <w:rFonts w:ascii="Arial" w:eastAsia="Arial" w:hAnsi="Arial" w:cs="Arial"/>
          <w:color w:val="000000"/>
          <w:highlight w:val="green"/>
        </w:rPr>
        <w:t>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sidR="0034493F">
        <w:rPr>
          <w:rFonts w:ascii="Arial" w:eastAsia="Arial" w:hAnsi="Arial" w:cs="Arial"/>
          <w:color w:val="000000"/>
        </w:rPr>
        <w:t xml:space="preserve"> </w:t>
      </w:r>
      <w:r w:rsidRPr="003173B4">
        <w:rPr>
          <w:rFonts w:ascii="Arial" w:eastAsia="Arial" w:hAnsi="Arial" w:cs="Arial"/>
          <w:color w:val="000000"/>
          <w:highlight w:val="green"/>
        </w:rPr>
        <w:t>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 xml:space="preserve">y el red teaming previstos en el numeral 6.7.2, con anterioridad a la implementación del SBIA y </w:t>
      </w:r>
      <w:r w:rsidR="00DC27CF" w:rsidRPr="00DC27CF">
        <w:rPr>
          <w:rFonts w:ascii="Arial" w:eastAsia="Arial" w:hAnsi="Arial" w:cs="Arial"/>
          <w:color w:val="000000"/>
          <w:highlight w:val="green"/>
        </w:rPr>
        <w:t>con la periodicidad que establezca el documento normativo del numeral 6.7.7</w:t>
      </w:r>
      <w:r w:rsidR="000C7600" w:rsidRPr="000C7600">
        <w:rPr>
          <w:rFonts w:ascii="Arial" w:eastAsia="Arial" w:hAnsi="Arial" w:cs="Arial"/>
          <w:color w:val="000000"/>
          <w:highlight w:val="green"/>
        </w:rPr>
        <w:t>,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702BE45E"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w:t>
      </w:r>
      <w:r w:rsidRPr="007F16BF">
        <w:rPr>
          <w:rFonts w:ascii="Arial" w:hAnsi="Arial" w:cs="Arial"/>
          <w:highlight w:val="green"/>
        </w:rPr>
        <w:t xml:space="preserve">5 </w:t>
      </w:r>
      <w:r w:rsidR="007F16BF" w:rsidRPr="007F16BF">
        <w:rPr>
          <w:rFonts w:ascii="Arial" w:hAnsi="Arial" w:cs="Arial"/>
          <w:highlight w:val="green"/>
        </w:rPr>
        <w:t>Es significativo el cambio que altera el desempeño, la finalidad, la población objetivo, las fuentes o la estructura de los datos de entrada, o el contexto de aplicación del SBIA.</w:t>
      </w:r>
      <w:r w:rsidR="007F16BF" w:rsidRPr="007F16BF">
        <w:rPr>
          <w:rFonts w:ascii="Arial" w:hAnsi="Arial" w:cs="Arial"/>
          <w:highlight w:val="green"/>
        </w:rPr>
        <w:t xml:space="preserve"> </w:t>
      </w:r>
      <w:r w:rsidRPr="007F16BF">
        <w:rPr>
          <w:rFonts w:ascii="Arial" w:hAnsi="Arial" w:cs="Arial"/>
          <w:highlight w:val="green"/>
        </w:rPr>
        <w:t xml:space="preserve">El </w:t>
      </w:r>
      <w:r w:rsidRPr="00532CB5">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sidRPr="007C33C4">
        <w:rPr>
          <w:rFonts w:ascii="Arial" w:hAnsi="Arial" w:cs="Arial"/>
          <w:highlight w:val="green"/>
        </w:rPr>
        <w:t xml:space="preserve">6.10.6 </w:t>
      </w:r>
      <w:r w:rsidR="007C33C4" w:rsidRPr="007C33C4">
        <w:rPr>
          <w:rFonts w:ascii="Arial" w:hAnsi="Arial" w:cs="Arial"/>
          <w:highlight w:val="green"/>
        </w:rPr>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w:t>
      </w:r>
      <w:r w:rsidR="007C33C4" w:rsidRPr="007C33C4">
        <w:rPr>
          <w:rFonts w:ascii="Arial" w:hAnsi="Arial" w:cs="Arial"/>
          <w:highlight w:val="green"/>
        </w:rPr>
        <w:t xml:space="preserve"> </w:t>
      </w:r>
      <w:r w:rsidRPr="007C33C4">
        <w:rPr>
          <w:rFonts w:ascii="Arial" w:hAnsi="Arial" w:cs="Arial"/>
          <w:highlight w:val="green"/>
        </w:rPr>
        <w:t xml:space="preserve">la </w:t>
      </w:r>
      <w:r w:rsidRPr="00975D3B">
        <w:rPr>
          <w:rFonts w:ascii="Arial" w:hAnsi="Arial" w:cs="Arial"/>
          <w:highlight w:val="green"/>
        </w:rPr>
        <w:t xml:space="preserve">manipulación de los datos de entrada para inducir un resultado determinado, el empleo del SBIA para una finalidad distinta de la registrada en el Inventario Institucional de SBIA y los </w:t>
      </w:r>
      <w:r w:rsidRPr="00975D3B">
        <w:rPr>
          <w:rFonts w:ascii="Arial" w:hAnsi="Arial" w:cs="Arial"/>
          <w:highlight w:val="green"/>
        </w:rPr>
        <w:lastRenderedPageBreak/>
        <w:t xml:space="preserve">patrones de uso incompatibles con la operación normal del proceso. El plan de monitoreo incorpora los indicadores que permitan detectar dichos patrones. </w:t>
      </w:r>
      <w:r w:rsidR="00D02E5D" w:rsidRPr="00D02E5D">
        <w:rPr>
          <w:rFonts w:ascii="Arial" w:hAnsi="Arial" w:cs="Arial"/>
          <w:highlight w:val="green"/>
        </w:rPr>
        <w:t>Los efectos del uso irregular sobre el funcionamiento del SBIA se tratan conforme al numeral 6.7.5; la conducta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sidRPr="00554995">
        <w:rPr>
          <w:rFonts w:ascii="Arial" w:eastAsia="Arial" w:hAnsi="Arial" w:cs="Arial"/>
          <w:color w:val="000000"/>
          <w:highlight w:val="green"/>
        </w:rPr>
        <w:t>6.11.3</w:t>
      </w:r>
      <w:r w:rsidRPr="00554995">
        <w:rPr>
          <w:rFonts w:ascii="Arial" w:eastAsia="Arial" w:hAnsi="Arial" w:cs="Arial"/>
          <w:color w:val="000000"/>
          <w:highlight w:val="green"/>
        </w:rPr>
        <w:tab/>
      </w:r>
      <w:r w:rsidR="00554995" w:rsidRPr="00554995">
        <w:rPr>
          <w:rFonts w:ascii="Arial" w:eastAsia="Arial" w:hAnsi="Arial" w:cs="Arial"/>
          <w:color w:val="000000"/>
          <w:highlight w:val="green"/>
        </w:rPr>
        <w:t>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corresponde a la Gerencia de Arquitectura, conforme al literal c) del artículo 130 del ROF. Las unidades de organización los cumplen como condición para el despliegue de estos modelos. En tanto no se aprueben, el despliegue de estos modelos requiere la autorización previa de la Gerencia de Arquitectura y observa los controles del numeral 6.7.2</w:t>
      </w:r>
      <w:r w:rsidRPr="00554995">
        <w:rPr>
          <w:rFonts w:ascii="Arial" w:eastAsia="Arial" w:hAnsi="Arial" w:cs="Arial"/>
          <w:color w:val="000000"/>
          <w:highlight w:val="green"/>
        </w:rPr>
        <w:t xml:space="preserve">. </w:t>
      </w:r>
      <w:r>
        <w:rPr>
          <w:rFonts w:ascii="Arial" w:eastAsia="Arial" w:hAnsi="Arial" w:cs="Arial"/>
          <w:color w:val="000000"/>
          <w:highlight w:val="cyan"/>
        </w:rPr>
        <w:t xml:space="preserve">El despliegue de estos </w:t>
      </w:r>
      <w:r>
        <w:rPr>
          <w:rFonts w:ascii="Arial" w:eastAsia="Arial" w:hAnsi="Arial" w:cs="Arial"/>
          <w:color w:val="000000"/>
          <w:highlight w:val="cyan"/>
        </w:rPr>
        <w:lastRenderedPageBreak/>
        <w:t>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sidRPr="00454C03">
        <w:rPr>
          <w:rFonts w:ascii="Arial" w:eastAsia="Arial" w:hAnsi="Arial" w:cs="Arial"/>
          <w:color w:val="000000"/>
          <w:highlight w:val="green"/>
        </w:rPr>
        <w:t>6.11.4</w:t>
      </w:r>
      <w:r w:rsidRPr="00454C03">
        <w:rPr>
          <w:rFonts w:ascii="Arial" w:eastAsia="Arial" w:hAnsi="Arial" w:cs="Arial"/>
          <w:color w:val="000000"/>
          <w:highlight w:val="green"/>
        </w:rPr>
        <w:tab/>
      </w:r>
      <w:r w:rsidR="00454C03" w:rsidRPr="00454C03">
        <w:rPr>
          <w:rFonts w:ascii="Arial" w:eastAsia="Arial" w:hAnsi="Arial" w:cs="Arial"/>
          <w:color w:val="000000"/>
          <w:highlight w:val="green"/>
        </w:rPr>
        <w:t>Ninguna unidad de organización desarrolla, adquiere, contrata, implementa u opera SBIA fuera</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del límite de la presente directiva, independientemente de su complejidad, presupuesto 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ámbito geográfico. En particular: (a) toda iniciativa de SBIA como proyecto se sujeta al ciclo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vida del numeral 6.1, incluidos sus hitos de aprobación, y se registra en el Inventario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Institucional de SBIA; (b) toda herramienta de IA que se contrate como servicio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(suscripciones, APIs, plataformas SaaS) cuenta previamente con la aprobación prevista en el</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numeral 6.11.5 y con su inclusión en el catálogo institucional (numeral 6.11.2), sin perjuicio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la verificación prevista en el numeral 6.12.3. Los colaboradores utilizan exclusivamente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 xml:space="preserve">las herramientas de IA que figuran en dicho catálogo. </w:t>
      </w:r>
      <w:r w:rsidR="00D02E5D" w:rsidRPr="00D02E5D">
        <w:rPr>
          <w:rFonts w:ascii="Arial" w:eastAsia="Arial" w:hAnsi="Arial" w:cs="Arial"/>
          <w:color w:val="000000"/>
          <w:highlight w:val="green"/>
        </w:rPr>
        <w:t>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y 6.2.3.</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de herramientas de IA. </w:t>
      </w:r>
      <w:r w:rsidR="00454C03" w:rsidRPr="00454C03">
        <w:rPr>
          <w:rFonts w:ascii="Arial" w:hAnsi="Arial" w:cs="Arial"/>
          <w:color w:val="000000"/>
          <w:highlight w:val="green"/>
        </w:rPr>
        <w:t>La División de Gestión de Infraestructura Tecnológica y la División de Atención a Usuarios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administran el inventario de software y aseguran, en el ámbito de sus competencias, que los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equipos informáticos tengan instalado únicamente software autorizado, conforme al literal b)</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del artículo 140 y al literal e) del artículo 142 del ROF</w:t>
      </w:r>
      <w:r w:rsidRPr="00454C03">
        <w:rPr>
          <w:rFonts w:ascii="Arial" w:hAnsi="Arial" w:cs="Arial"/>
          <w:color w:val="000000"/>
          <w:highlight w:val="green"/>
        </w:rPr>
        <w:t xml:space="preserve">. </w:t>
      </w:r>
      <w:r>
        <w:rPr>
          <w:rFonts w:ascii="Arial" w:hAnsi="Arial" w:cs="Arial"/>
          <w:color w:val="000000"/>
          <w:highlight w:val="cyan"/>
        </w:rPr>
        <w:t xml:space="preserve">El catálogo institucional de herramientas de IA constituye el subconjunto de inteligencia artificial del inventario de software autorizado; ambos se distinguen del Inventario de SBIA (Anexo N.° 1), que registra los </w:t>
      </w:r>
      <w:r w:rsidR="0029383A">
        <w:rPr>
          <w:rFonts w:ascii="Arial" w:hAnsi="Arial" w:cs="Arial"/>
          <w:color w:val="000000"/>
          <w:highlight w:val="cyan"/>
        </w:rPr>
        <w:t>SBIA</w:t>
      </w:r>
      <w:r>
        <w:rPr>
          <w:rFonts w:ascii="Arial" w:hAnsi="Arial" w:cs="Arial"/>
          <w:color w:val="000000"/>
          <w:highlight w:val="cyan"/>
        </w:rPr>
        <w:t xml:space="preserve"> y no las herramientas.</w:t>
      </w:r>
      <w:r>
        <w:rPr>
          <w:rFonts w:ascii="Arial" w:eastAsia="Arial" w:hAnsi="Arial" w:cs="Arial"/>
          <w:color w:val="000000"/>
          <w:highlight w:val="cyan"/>
        </w:rPr>
        <w:t xml:space="preserve"> </w:t>
      </w:r>
      <w:r w:rsidR="00D12015" w:rsidRPr="00D12015">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sidRPr="008133DB">
        <w:rPr>
          <w:rFonts w:ascii="Arial" w:eastAsia="Arial" w:hAnsi="Arial" w:cs="Arial"/>
          <w:color w:val="000000"/>
          <w:highlight w:val="green"/>
        </w:rPr>
        <w:t>6.12.1</w:t>
      </w:r>
      <w:r w:rsidRPr="008133DB">
        <w:rPr>
          <w:rFonts w:ascii="Arial" w:eastAsia="Arial" w:hAnsi="Arial" w:cs="Arial"/>
          <w:color w:val="000000"/>
          <w:highlight w:val="green"/>
        </w:rPr>
        <w:tab/>
      </w:r>
      <w:r w:rsidR="008133DB" w:rsidRPr="008133DB">
        <w:rPr>
          <w:rFonts w:ascii="Arial" w:eastAsia="Arial" w:hAnsi="Arial" w:cs="Arial"/>
          <w:color w:val="000000"/>
          <w:highlight w:val="green"/>
        </w:rPr>
        <w:t>La unidad de organización que formula los términos de referencia o las especificaciones técnicas para la adquisición de un SBIA incorpora en ellos los requisitos de cumplimiento de la presente directiva y de la normativa aplicable. La INSI verifica su incorporación con anterioridad a la conformidad técnica del requerimiento.</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w:t>
      </w:r>
      <w:r w:rsidRPr="008133DB">
        <w:rPr>
          <w:rFonts w:ascii="Arial" w:eastAsia="Arial" w:hAnsi="Arial" w:cs="Arial"/>
          <w:color w:val="000000"/>
          <w:highlight w:val="green"/>
        </w:rPr>
        <w:t>.2</w:t>
      </w:r>
      <w:r w:rsidRPr="008133DB">
        <w:rPr>
          <w:rFonts w:ascii="Arial" w:eastAsia="Arial" w:hAnsi="Arial" w:cs="Arial"/>
          <w:color w:val="000000"/>
          <w:highlight w:val="green"/>
        </w:rPr>
        <w:tab/>
      </w:r>
      <w:r w:rsidR="008133DB" w:rsidRPr="008133DB">
        <w:rPr>
          <w:rFonts w:ascii="Arial" w:eastAsia="Arial" w:hAnsi="Arial" w:cs="Arial"/>
          <w:color w:val="000000"/>
          <w:highlight w:val="green"/>
        </w:rPr>
        <w:t xml:space="preserve">La unidad de organización que formula los términos de referencia o las especificaciones técnicas incorpora en ellos las cláusulas que el contrato debe </w:t>
      </w:r>
      <w:r w:rsidR="008133DB" w:rsidRPr="008133DB">
        <w:rPr>
          <w:rFonts w:ascii="Arial" w:eastAsia="Arial" w:hAnsi="Arial" w:cs="Arial"/>
          <w:color w:val="000000"/>
          <w:highlight w:val="green"/>
        </w:rPr>
        <w:lastRenderedPageBreak/>
        <w:t>contener sobre:</w:t>
      </w:r>
      <w:r w:rsidRPr="008133DB">
        <w:rPr>
          <w:rFonts w:ascii="Arial" w:eastAsia="Arial" w:hAnsi="Arial" w:cs="Arial"/>
          <w:color w:val="000000"/>
          <w:highlight w:val="green"/>
        </w:rPr>
        <w:t xml:space="preserve"> </w:t>
      </w:r>
      <w:r w:rsidRPr="003173B4">
        <w:rPr>
          <w:rFonts w:ascii="Arial" w:eastAsia="Arial" w:hAnsi="Arial" w:cs="Arial"/>
          <w:color w:val="000000"/>
          <w:highlight w:val="green"/>
        </w:rPr>
        <w:t xml:space="preserve">(a) protección de datos y reserva tributaria; (b) transparencia del modelo; (c) comunicación de vulnerabilidades e incidentes; (d) derecho de auditoría, incluida la realización de auditorías éticas y de sesgo sobre el modelo; (e) transferencia de conocimiento; </w:t>
      </w:r>
      <w:r w:rsidR="008B2BEE" w:rsidRPr="008B2BEE">
        <w:rPr>
          <w:rFonts w:ascii="Arial" w:eastAsia="Arial" w:hAnsi="Arial" w:cs="Arial"/>
          <w:color w:val="000000"/>
          <w:highlight w:val="green"/>
        </w:rPr>
        <w:t>(f) cumplimiento de estándares técnicos; y (g) la identificación de los subprocesadores autorizados y las condiciones de recuperación de la información institucional a 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sidRPr="00000718">
        <w:rPr>
          <w:rFonts w:ascii="Arial" w:eastAsia="Arial" w:hAnsi="Arial" w:cs="Arial"/>
          <w:color w:val="000000"/>
          <w:highlight w:val="green"/>
        </w:rPr>
        <w:t>6.12.3</w:t>
      </w:r>
      <w:r w:rsidRPr="00000718">
        <w:rPr>
          <w:rFonts w:ascii="Arial" w:eastAsia="Arial" w:hAnsi="Arial" w:cs="Arial"/>
          <w:color w:val="000000"/>
          <w:highlight w:val="green"/>
        </w:rPr>
        <w:tab/>
      </w:r>
      <w:r w:rsidR="00000718" w:rsidRPr="00000718">
        <w:rPr>
          <w:rFonts w:ascii="Arial" w:eastAsia="Arial" w:hAnsi="Arial" w:cs="Arial"/>
          <w:color w:val="000000"/>
          <w:highlight w:val="green"/>
        </w:rPr>
        <w:t>Para SBIA SaaS, la INSI verifica que los términos de uso sean compatibles con las obligaciones de la SUNAT en materia de datos y con la restricción del numeral 6.11.1.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sidRPr="00000718">
        <w:rPr>
          <w:rFonts w:ascii="Arial" w:eastAsia="Arial" w:hAnsi="Arial" w:cs="Arial"/>
          <w:color w:val="000000"/>
          <w:highlight w:val="green"/>
        </w:rPr>
        <w:t>6.12.4</w:t>
      </w:r>
      <w:r w:rsidRPr="00000718">
        <w:rPr>
          <w:rFonts w:ascii="Arial" w:eastAsia="Arial" w:hAnsi="Arial" w:cs="Arial"/>
          <w:color w:val="000000"/>
          <w:highlight w:val="green"/>
        </w:rPr>
        <w:tab/>
      </w:r>
      <w:r w:rsidR="00000718" w:rsidRPr="00000718">
        <w:rPr>
          <w:rFonts w:ascii="Arial" w:eastAsia="Arial" w:hAnsi="Arial" w:cs="Arial"/>
          <w:color w:val="000000"/>
          <w:highlight w:val="green"/>
        </w:rPr>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sidRPr="00274362">
        <w:rPr>
          <w:rFonts w:ascii="Arial" w:eastAsia="Arial" w:hAnsi="Arial" w:cs="Arial"/>
          <w:color w:val="000000"/>
          <w:highlight w:val="green"/>
        </w:rPr>
        <w:t>6.12.5</w:t>
      </w:r>
      <w:r w:rsidRPr="00274362">
        <w:rPr>
          <w:rFonts w:ascii="Arial" w:eastAsia="Arial" w:hAnsi="Arial" w:cs="Arial"/>
          <w:color w:val="000000"/>
          <w:highlight w:val="green"/>
        </w:rPr>
        <w:tab/>
      </w:r>
      <w:r w:rsidR="00274362" w:rsidRPr="00274362">
        <w:rPr>
          <w:rFonts w:ascii="Arial" w:eastAsia="Arial" w:hAnsi="Arial" w:cs="Arial"/>
          <w:color w:val="000000"/>
          <w:highlight w:val="green"/>
        </w:rPr>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sidRPr="00641EAF">
        <w:rPr>
          <w:highlight w:val="green"/>
        </w:rPr>
        <w:t>6.13</w:t>
      </w:r>
      <w:r w:rsidRPr="00641EAF">
        <w:rPr>
          <w:highlight w:val="green"/>
        </w:rPr>
        <w:tab/>
      </w:r>
      <w:r w:rsidR="00641EAF" w:rsidRPr="00641EAF">
        <w:rPr>
          <w:highlight w:val="green"/>
        </w:rPr>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 xml:space="preserve">Todo el personal de la SUNAT vinculado al diseño, desarrollo, implementación, evaluación o uso de </w:t>
      </w:r>
      <w:r w:rsidR="0029383A">
        <w:rPr>
          <w:rFonts w:ascii="Arial" w:eastAsia="Arial" w:hAnsi="Arial" w:cs="Arial"/>
          <w:color w:val="000000"/>
          <w:highlight w:val="lightGray"/>
        </w:rPr>
        <w:t>SBIA</w:t>
      </w:r>
      <w:r w:rsidRPr="00833CDE">
        <w:rPr>
          <w:rFonts w:ascii="Arial" w:eastAsia="Arial" w:hAnsi="Arial" w:cs="Arial"/>
          <w:color w:val="000000"/>
          <w:highlight w:val="lightGray"/>
        </w:rPr>
        <w:t xml:space="preserve"> es sensibilizado respecto del uso seguro, responsable y ético de dichos sistemas, así como de los riesgos asociados y de las disposiciones establecidas en la </w:t>
      </w:r>
      <w:r w:rsidR="00641EAF" w:rsidRPr="00641EAF">
        <w:rPr>
          <w:rFonts w:ascii="Arial" w:eastAsia="Arial" w:hAnsi="Arial" w:cs="Arial"/>
          <w:color w:val="000000"/>
          <w:highlight w:val="lightGray"/>
        </w:rPr>
        <w:t>Política de IA</w:t>
      </w:r>
      <w:r w:rsidR="00641EAF">
        <w:rPr>
          <w:rFonts w:ascii="Arial" w:eastAsia="Arial" w:hAnsi="Arial" w:cs="Arial"/>
          <w:color w:val="000000"/>
          <w:highlight w:val="lightGray"/>
        </w:rPr>
        <w:t>.</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 xml:space="preserve">La finalidad y los principios institucionales aplicables a los </w:t>
      </w:r>
      <w:r w:rsidR="0029383A">
        <w:rPr>
          <w:b w:val="0"/>
          <w:bCs w:val="0"/>
          <w:color w:val="000000"/>
          <w:highlight w:val="lightGray"/>
        </w:rPr>
        <w:t>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lastRenderedPageBreak/>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 xml:space="preserve">El impacto social y ambiental de los </w:t>
      </w:r>
      <w:r w:rsidR="0029383A">
        <w:rPr>
          <w:b w:val="0"/>
          <w:bCs w:val="0"/>
          <w:color w:val="000000"/>
          <w:highlight w:val="lightGray"/>
        </w:rPr>
        <w:t>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sidRPr="00A402D8">
        <w:rPr>
          <w:rFonts w:ascii="Arial" w:eastAsia="Arial" w:hAnsi="Arial" w:cs="Arial"/>
          <w:color w:val="000000"/>
          <w:highlight w:val="green"/>
        </w:rPr>
        <w:t>Esta disposición desarrolla el principio rector de sensibilización y educación en IA</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 xml:space="preserve">establecido en el literal f) del artículo 7 del </w:t>
      </w:r>
      <w:r w:rsidR="002D1BB4">
        <w:rPr>
          <w:rFonts w:ascii="Arial" w:eastAsia="Arial" w:hAnsi="Arial" w:cs="Arial"/>
          <w:color w:val="000000"/>
          <w:highlight w:val="green"/>
        </w:rPr>
        <w:t>RLIA</w:t>
      </w:r>
      <w:r w:rsidRPr="00A402D8">
        <w:rPr>
          <w:rFonts w:ascii="Arial" w:eastAsia="Arial" w:hAnsi="Arial" w:cs="Arial"/>
          <w:color w:val="000000"/>
          <w:highlight w:val="green"/>
        </w:rPr>
        <w:t>, en concordancia con el numeral 7.3</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w:t>
      </w:r>
      <w:r w:rsidR="0029383A">
        <w:rPr>
          <w:rFonts w:ascii="Arial" w:eastAsia="Arial" w:hAnsi="Arial" w:cs="Arial"/>
          <w:color w:val="000000"/>
          <w:highlight w:val="lightGray"/>
        </w:rPr>
        <w:t>SBIA</w:t>
      </w:r>
      <w:r w:rsidRPr="00833CDE">
        <w:rPr>
          <w:rFonts w:ascii="Arial" w:eastAsia="Arial" w:hAnsi="Arial" w:cs="Arial"/>
          <w:color w:val="000000"/>
          <w:highlight w:val="lightGray"/>
        </w:rPr>
        <w:t xml:space="preserve">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 xml:space="preserve">Los fundamentos y el ciclo de vida de los </w:t>
      </w:r>
      <w:r w:rsidR="0029383A">
        <w:rPr>
          <w:b w:val="0"/>
          <w:bCs w:val="0"/>
          <w:color w:val="000000"/>
          <w:highlight w:val="lightGray"/>
        </w:rPr>
        <w:t>SBIA</w:t>
      </w:r>
      <w:r w:rsidRPr="00833CDE">
        <w:rPr>
          <w:b w:val="0"/>
          <w:bCs w:val="0"/>
          <w:color w:val="000000"/>
          <w:highlight w:val="lightGray"/>
        </w:rPr>
        <w:t>.</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Esta disposición se implementa conforme al numeral 28.5 del artículo 28 del </w:t>
      </w:r>
      <w:r w:rsidR="002D1BB4">
        <w:rPr>
          <w:rFonts w:ascii="Arial" w:eastAsia="Arial" w:hAnsi="Arial" w:cs="Arial"/>
          <w:color w:val="000000"/>
          <w:highlight w:val="lightGray"/>
        </w:rPr>
        <w:t>RLIA</w:t>
      </w:r>
      <w:r w:rsidRPr="00833CDE">
        <w:rPr>
          <w:rFonts w:ascii="Arial" w:eastAsia="Arial" w:hAnsi="Arial" w:cs="Arial"/>
          <w:color w:val="000000"/>
          <w:highlight w:val="lightGray"/>
        </w:rPr>
        <w:t xml:space="preserve">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Las acciones de gestión del cambio facilitan la consolidación </w:t>
      </w:r>
      <w:r w:rsidR="00641EAF">
        <w:rPr>
          <w:rFonts w:ascii="Arial" w:eastAsia="Arial" w:hAnsi="Arial" w:cs="Arial"/>
          <w:color w:val="000000"/>
          <w:highlight w:val="lightGray"/>
        </w:rPr>
        <w:t xml:space="preserve">de </w:t>
      </w:r>
      <w:r w:rsidR="00641EAF" w:rsidRPr="00641EAF">
        <w:rPr>
          <w:rFonts w:ascii="Arial" w:eastAsia="Arial" w:hAnsi="Arial" w:cs="Arial"/>
          <w:color w:val="000000"/>
          <w:highlight w:val="lightGray"/>
        </w:rPr>
        <w:t>la Política de IA y del sistema de gestión de IA</w:t>
      </w:r>
      <w:r w:rsidRPr="00833CDE">
        <w:rPr>
          <w:rFonts w:ascii="Arial" w:eastAsia="Arial" w:hAnsi="Arial" w:cs="Arial"/>
          <w:color w:val="000000"/>
          <w:highlight w:val="lightGray"/>
        </w:rPr>
        <w:t xml:space="preserve">, promoviendo su integración en la gestión institucional y favoreciendo las condiciones organizacionales necesarias para su sostenibilidad y mejora continua, en concordancia con los numerales 28.1 y 28.2 del artículo 28 del </w:t>
      </w:r>
      <w:r w:rsidR="002D1BB4">
        <w:rPr>
          <w:rFonts w:ascii="Arial" w:eastAsia="Arial" w:hAnsi="Arial" w:cs="Arial"/>
          <w:color w:val="000000"/>
          <w:highlight w:val="lightGray"/>
        </w:rPr>
        <w:t>RLIA</w:t>
      </w:r>
      <w:r w:rsidRPr="00833CDE">
        <w:rPr>
          <w:rFonts w:ascii="Arial" w:eastAsia="Arial" w:hAnsi="Arial" w:cs="Arial"/>
          <w:color w:val="000000"/>
          <w:highlight w:val="lightGray"/>
        </w:rPr>
        <w:t>.</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6.14.1</w:t>
      </w:r>
      <w:r>
        <w:rPr>
          <w:rFonts w:ascii="Arial" w:eastAsia="Arial" w:hAnsi="Arial" w:cs="Arial"/>
          <w:color w:val="000000"/>
          <w:highlight w:val="yellow"/>
        </w:rPr>
        <w:tab/>
        <w:t xml:space="preserve">En el desarrollo, la implementación y el uso de los SBIA, </w:t>
      </w:r>
      <w:r w:rsidR="00951287" w:rsidRPr="00951287">
        <w:rPr>
          <w:rFonts w:ascii="Arial" w:eastAsia="Arial" w:hAnsi="Arial" w:cs="Arial"/>
          <w:color w:val="000000"/>
          <w:highlight w:val="yellow"/>
        </w:rPr>
        <w:t>la SUNAT promueve la participación de equipos diversos y multidisciplinarios, conforme al numeral 6.1.6</w:t>
      </w:r>
      <w:r>
        <w:rPr>
          <w:rFonts w:ascii="Arial" w:eastAsia="Arial" w:hAnsi="Arial" w:cs="Arial"/>
          <w:color w:val="000000"/>
          <w:highlight w:val="yellow"/>
        </w:rPr>
        <w:t>,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sidR="00A402D8" w:rsidRPr="00A402D8">
        <w:rPr>
          <w:rFonts w:ascii="Arial" w:eastAsia="Arial" w:hAnsi="Arial" w:cs="Arial"/>
          <w:color w:val="000000"/>
          <w:highlight w:val="green"/>
        </w:rPr>
        <w:t>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w:t>
      </w:r>
      <w:r w:rsidR="00F0156C" w:rsidRPr="00F0156C">
        <w:rPr>
          <w:rFonts w:ascii="Arial" w:eastAsia="Arial" w:hAnsi="Arial" w:cs="Arial"/>
          <w:color w:val="000000"/>
          <w:highlight w:val="green"/>
        </w:rPr>
        <w:t>, conforme al numeral 28.9 del artículo 28 del RLIA</w:t>
      </w:r>
      <w:r w:rsidRPr="00A402D8">
        <w:rPr>
          <w:rFonts w:ascii="Arial" w:eastAsia="Arial" w:hAnsi="Arial" w:cs="Arial"/>
          <w:color w:val="000000"/>
          <w:highlight w:val="green"/>
        </w:rPr>
        <w:t>.</w:t>
      </w:r>
      <w:r w:rsidR="002555BF" w:rsidRPr="00A402D8">
        <w:rPr>
          <w:rFonts w:ascii="Arial" w:eastAsia="Arial" w:hAnsi="Arial" w:cs="Arial"/>
          <w:color w:val="000000"/>
          <w:highlight w:val="green"/>
        </w:rPr>
        <w:t xml:space="preserve"> </w:t>
      </w:r>
      <w:r w:rsidR="002555BF" w:rsidRPr="002555BF">
        <w:rPr>
          <w:rFonts w:ascii="Arial" w:eastAsia="Arial" w:hAnsi="Arial" w:cs="Arial"/>
          <w:color w:val="000000"/>
          <w:highlight w:val="green"/>
        </w:rPr>
        <w:t xml:space="preserve">La OII supervisa en los SBIA el cumplimiento de los principios rectores establecidos en el artículo 7 del </w:t>
      </w:r>
      <w:r w:rsidR="002D1BB4">
        <w:rPr>
          <w:rFonts w:ascii="Arial" w:eastAsia="Arial" w:hAnsi="Arial" w:cs="Arial"/>
          <w:color w:val="000000"/>
          <w:highlight w:val="green"/>
        </w:rPr>
        <w:t>RLIA</w:t>
      </w:r>
      <w:r w:rsidR="002555BF" w:rsidRPr="002555BF">
        <w:rPr>
          <w:rFonts w:ascii="Arial" w:eastAsia="Arial" w:hAnsi="Arial" w:cs="Arial"/>
          <w:color w:val="000000"/>
          <w:highlight w:val="green"/>
        </w:rPr>
        <w:t xml:space="preserve"> y de los compromisos de la Política de </w:t>
      </w:r>
      <w:r w:rsidR="001222E1">
        <w:rPr>
          <w:rFonts w:ascii="Arial" w:eastAsia="Arial" w:hAnsi="Arial" w:cs="Arial"/>
          <w:color w:val="000000"/>
          <w:highlight w:val="green"/>
        </w:rPr>
        <w:t>IA</w:t>
      </w:r>
      <w:r w:rsidR="002555BF" w:rsidRPr="002555BF">
        <w:rPr>
          <w:rFonts w:ascii="Arial" w:eastAsia="Arial" w:hAnsi="Arial" w:cs="Arial"/>
          <w:color w:val="000000"/>
          <w:highlight w:val="green"/>
        </w:rPr>
        <w: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r w:rsidR="000E3950" w:rsidRPr="000E3950">
        <w:t xml:space="preserve"> </w:t>
      </w:r>
      <w:r w:rsidR="000E3950" w:rsidRPr="000E3950">
        <w:rPr>
          <w:rFonts w:ascii="Arial" w:eastAsia="Arial" w:hAnsi="Arial" w:cs="Arial"/>
          <w:color w:val="000000"/>
          <w:highlight w:val="green"/>
        </w:rPr>
        <w:t xml:space="preserve">Esta disposición desarrolla el numeral 28.9 del artículo 28 del </w:t>
      </w:r>
      <w:r w:rsidR="002D1BB4">
        <w:rPr>
          <w:rFonts w:ascii="Arial" w:eastAsia="Arial" w:hAnsi="Arial" w:cs="Arial"/>
          <w:color w:val="000000"/>
          <w:highlight w:val="green"/>
        </w:rPr>
        <w:t>RLIA</w:t>
      </w:r>
      <w:r w:rsidR="000E3950" w:rsidRPr="000E3950">
        <w:rPr>
          <w:rFonts w:ascii="Arial" w:eastAsia="Arial" w:hAnsi="Arial" w:cs="Arial"/>
          <w:color w:val="000000"/>
          <w:highlight w:val="green"/>
        </w:rPr>
        <w:t>.</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 xml:space="preserve">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w:t>
      </w:r>
      <w:r w:rsidR="006B7D44" w:rsidRPr="006B7D44">
        <w:rPr>
          <w:rFonts w:ascii="Arial" w:hAnsi="Arial" w:cs="Arial"/>
          <w:highlight w:val="green"/>
        </w:rPr>
        <w:t>Los controles aplicables se determinan a partir de la clasificación, conforme al numeral 6.2.5</w:t>
      </w:r>
      <w:r w:rsidR="006D44AB" w:rsidRPr="006D44AB">
        <w:rPr>
          <w:rFonts w:ascii="Arial" w:hAnsi="Arial" w:cs="Arial"/>
          <w:highlight w:val="green"/>
        </w:rPr>
        <w:t xml:space="preserve">. La opinión no comprende la generación de valor, el costo, la </w:t>
      </w:r>
      <w:r w:rsidR="006D44AB" w:rsidRPr="006D44AB">
        <w:rPr>
          <w:rFonts w:ascii="Arial" w:hAnsi="Arial" w:cs="Arial"/>
          <w:highlight w:val="green"/>
        </w:rPr>
        <w:lastRenderedPageBreak/>
        <w:t>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sidRPr="00617198">
        <w:rPr>
          <w:b w:val="0"/>
          <w:bCs w:val="0"/>
          <w:highlight w:val="green"/>
        </w:rPr>
        <w:t>Favorable con condiciones, que identifica los controles que corresponden conforme al numeral 6.2.5 y cuya implementación se verifica en el hito de aprobación previo al despliegue, conforme al numeral 6.1.2</w:t>
      </w:r>
      <w:r w:rsidR="006D44AB" w:rsidRPr="00617198">
        <w:rPr>
          <w:b w:val="0"/>
          <w:bCs w:val="0"/>
          <w:highlight w:val="green"/>
        </w:rPr>
        <w:t xml:space="preserve">. </w:t>
      </w:r>
      <w:r w:rsidR="006D44AB" w:rsidRPr="006D44AB">
        <w:rPr>
          <w:b w:val="0"/>
          <w:bCs w:val="0"/>
          <w:highlight w:val="green"/>
        </w:rPr>
        <w:t>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 xml:space="preserve">No favorable, cuando el uso es indebido conforme al artículo 23 del RLIA, contraviene la Política de </w:t>
      </w:r>
      <w:r w:rsidR="001222E1">
        <w:rPr>
          <w:b w:val="0"/>
          <w:bCs w:val="0"/>
          <w:highlight w:val="green"/>
        </w:rPr>
        <w:t>IA</w:t>
      </w:r>
      <w:r w:rsidRPr="006D44AB">
        <w:rPr>
          <w:b w:val="0"/>
          <w:bCs w:val="0"/>
          <w:highlight w:val="green"/>
        </w:rPr>
        <w:t xml:space="preserve">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sidRPr="006B7D44">
        <w:rPr>
          <w:rFonts w:ascii="Arial" w:hAnsi="Arial" w:cs="Arial"/>
          <w:highlight w:val="green"/>
        </w:rPr>
        <w:t>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w:t>
      </w:r>
      <w:r w:rsidRPr="006B7D44">
        <w:rPr>
          <w:rFonts w:ascii="Arial" w:hAnsi="Arial" w:cs="Arial"/>
          <w:highlight w:val="green"/>
        </w:rPr>
        <w:t xml:space="preserve"> </w:t>
      </w:r>
      <w:r w:rsidR="006D44AB" w:rsidRPr="006B7D44">
        <w:rPr>
          <w:rFonts w:ascii="Arial" w:hAnsi="Arial" w:cs="Arial"/>
          <w:highlight w:val="green"/>
        </w:rPr>
        <w:t xml:space="preserve">En </w:t>
      </w:r>
      <w:r w:rsidR="006D44AB" w:rsidRPr="006D44AB">
        <w:rPr>
          <w:rFonts w:ascii="Arial" w:hAnsi="Arial" w:cs="Arial"/>
          <w:highlight w:val="green"/>
        </w:rPr>
        <w:t>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lastRenderedPageBreak/>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 xml:space="preserve">Gobierno de IA, conforme al numeral 7.6. Esta incorporación alcanza al Modelo de </w:t>
      </w:r>
      <w:r w:rsidR="00950EB9">
        <w:rPr>
          <w:rFonts w:ascii="Arial" w:hAnsi="Arial" w:cs="Arial"/>
          <w:highlight w:val="green"/>
        </w:rPr>
        <w:t>Gobernabilidad</w:t>
      </w:r>
      <w:r w:rsidR="00EF2B54" w:rsidRPr="00EF2B54">
        <w:rPr>
          <w:rFonts w:ascii="Arial" w:hAnsi="Arial" w:cs="Arial"/>
          <w:highlight w:val="green"/>
        </w:rPr>
        <w:t xml:space="preserve"> de</w:t>
      </w:r>
      <w:r w:rsidR="00EF2B54" w:rsidRPr="00EF2B54">
        <w:rPr>
          <w:rFonts w:ascii="Arial" w:hAnsi="Arial" w:cs="Arial"/>
          <w:highlight w:val="green"/>
        </w:rPr>
        <w:t xml:space="preserve"> </w:t>
      </w:r>
      <w:r w:rsidR="00F36D39">
        <w:rPr>
          <w:rFonts w:ascii="Arial" w:hAnsi="Arial" w:cs="Arial"/>
          <w:highlight w:val="green"/>
        </w:rPr>
        <w:t>Programas</w:t>
      </w:r>
      <w:r w:rsidR="00EF2B54" w:rsidRPr="00EF2B54">
        <w:rPr>
          <w:rFonts w:ascii="Arial" w:hAnsi="Arial" w:cs="Arial"/>
          <w:highlight w:val="green"/>
        </w:rPr>
        <w:t xml:space="preserve"> y </w:t>
      </w:r>
      <w:r w:rsidR="00F36D39">
        <w:rPr>
          <w:rFonts w:ascii="Arial" w:hAnsi="Arial" w:cs="Arial"/>
          <w:highlight w:val="green"/>
        </w:rPr>
        <w:t>Proyectos</w:t>
      </w:r>
      <w:r w:rsidR="00EF2B54" w:rsidRPr="00EF2B54">
        <w:rPr>
          <w:rFonts w:ascii="Arial" w:hAnsi="Arial" w:cs="Arial"/>
          <w:highlight w:val="green"/>
        </w:rPr>
        <w:t xml:space="preserve">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r w:rsidR="00C10D18" w:rsidRPr="00C10D18">
        <w:rPr>
          <w:rFonts w:asciiTheme="minorHAnsi" w:eastAsiaTheme="minorEastAsia" w:hAnsiTheme="minorHAnsi" w:cstheme="minorBidi"/>
          <w:b w:val="0"/>
          <w:bCs w:val="0"/>
        </w:rPr>
        <w:t xml:space="preserve"> </w:t>
      </w:r>
      <w:r w:rsidR="00C10D18" w:rsidRPr="00C10D18">
        <w:rPr>
          <w:b w:val="0"/>
          <w:bCs w:val="0"/>
          <w:highlight w:val="yellow"/>
        </w:rPr>
        <w:t>El CGTD adopta el acuerdo de propuesta de conformación en su primera sesión posterior a la entrada en vigencia de la presente directiva. En tanto la Comisión de Gobierno de IA no se conforme, el CGTD ejerce las funciones que la presente directiva asigna a aquella, y la INSI prepara y eleva las propuestas correspondientes, recabando previamente la opinión de las unidades de organización a las que el numeral 5.4 asigna una materia.</w:t>
      </w:r>
    </w:p>
    <w:p w14:paraId="482CBA45" w14:textId="0E4C9FB1" w:rsidR="00CB040E" w:rsidRPr="0094125C" w:rsidRDefault="00CB040E" w:rsidP="00180A95">
      <w:pPr>
        <w:pStyle w:val="SubtituloDONI"/>
        <w:spacing w:line="276" w:lineRule="auto"/>
        <w:ind w:left="851"/>
        <w:rPr>
          <w:b w:val="0"/>
          <w:bCs w:val="0"/>
          <w:highlight w:val="green"/>
        </w:rPr>
      </w:pPr>
      <w:r w:rsidRPr="0094125C">
        <w:rPr>
          <w:b w:val="0"/>
          <w:bCs w:val="0"/>
          <w:highlight w:val="green"/>
        </w:rPr>
        <w:t>7.4</w:t>
      </w:r>
      <w:r w:rsidRPr="0094125C">
        <w:rPr>
          <w:b w:val="0"/>
          <w:bCs w:val="0"/>
          <w:highlight w:val="green"/>
        </w:rPr>
        <w:tab/>
      </w:r>
      <w:r w:rsidR="0094125C" w:rsidRPr="0094125C">
        <w:rPr>
          <w:b w:val="0"/>
          <w:bCs w:val="0"/>
          <w:highlight w:val="green"/>
        </w:rPr>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sidRPr="00DF4730">
        <w:rPr>
          <w:b w:val="0"/>
          <w:bCs w:val="0"/>
          <w:color w:val="000000"/>
          <w:highlight w:val="green"/>
        </w:rPr>
        <w:t>7.6</w:t>
      </w:r>
      <w:r w:rsidRPr="00DF4730">
        <w:rPr>
          <w:color w:val="000000"/>
          <w:highlight w:val="green"/>
        </w:rPr>
        <w:tab/>
      </w:r>
      <w:r w:rsidR="00DF4730" w:rsidRPr="00DF4730">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sidR="00DF4730">
        <w:rPr>
          <w:b w:val="0"/>
          <w:bCs w:val="0"/>
          <w:color w:val="000000"/>
        </w:rPr>
        <w:t xml:space="preserve">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DF4730" w:rsidRPr="00DF4730">
        <w:rPr>
          <w:b w:val="0"/>
          <w:bCs w:val="0"/>
          <w:color w:val="000000"/>
          <w:highlight w:val="green"/>
        </w:rPr>
        <w:t>Constituyen encargos de la presente directiva las disposiciones que remiten expresamente al presente numeral; su plazo se establece mediante acuerdo del Comité de Gobierno y Transformación Digital</w:t>
      </w:r>
      <w:r w:rsidR="006C344B" w:rsidRPr="00DF4730">
        <w:rPr>
          <w:b w:val="0"/>
          <w:bCs w:val="0"/>
          <w:color w:val="000000"/>
          <w:highlight w:val="green"/>
        </w:rPr>
        <w:t>.</w:t>
      </w:r>
      <w:r w:rsidR="006C344B" w:rsidRPr="00DF4730">
        <w:rPr>
          <w:rFonts w:asciiTheme="minorHAnsi" w:eastAsiaTheme="minorEastAsia" w:hAnsiTheme="minorHAnsi" w:cstheme="minorBidi"/>
          <w:b w:val="0"/>
          <w:bCs w:val="0"/>
          <w:highlight w:val="gree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48BCADDA" w:rsidR="0018147B" w:rsidRDefault="00000000">
      <w:pPr>
        <w:pStyle w:val="SubtituloDONI"/>
        <w:spacing w:line="276" w:lineRule="auto"/>
        <w:ind w:left="851"/>
        <w:rPr>
          <w:b w:val="0"/>
          <w:bCs w:val="0"/>
        </w:rPr>
      </w:pPr>
      <w:r>
        <w:rPr>
          <w:b w:val="0"/>
          <w:bCs w:val="0"/>
        </w:rPr>
        <w:t>7.8</w:t>
      </w:r>
      <w:r>
        <w:rPr>
          <w:b w:val="0"/>
          <w:bCs w:val="0"/>
        </w:rPr>
        <w:tab/>
      </w:r>
      <w:r w:rsidR="004F7F7E" w:rsidRPr="004F7F7E">
        <w:rPr>
          <w:b w:val="0"/>
          <w:bCs w:val="0"/>
          <w:highlight w:val="green"/>
        </w:rPr>
        <w:t>Las referencias a normas técnicas, a metodologías y a instrumentos de gestión institucionales aplican a sus versiones vigentes o a las que las sustituyan.</w:t>
      </w:r>
    </w:p>
    <w:p w14:paraId="5617D77E" w14:textId="668AAD48" w:rsidR="0018147B" w:rsidRDefault="00000000" w:rsidP="00174519">
      <w:pPr>
        <w:pStyle w:val="SubtituloDONI"/>
        <w:spacing w:line="276" w:lineRule="auto"/>
        <w:ind w:left="851"/>
        <w:rPr>
          <w:b w:val="0"/>
          <w:bCs w:val="0"/>
        </w:rPr>
      </w:pPr>
      <w:r w:rsidRPr="008133DB">
        <w:rPr>
          <w:b w:val="0"/>
          <w:bCs w:val="0"/>
          <w:highlight w:val="green"/>
        </w:rPr>
        <w:t>7.9</w:t>
      </w:r>
      <w:r w:rsidRPr="008133DB">
        <w:rPr>
          <w:b w:val="0"/>
          <w:bCs w:val="0"/>
          <w:highlight w:val="green"/>
        </w:rPr>
        <w:tab/>
      </w:r>
      <w:r w:rsidR="008133DB" w:rsidRPr="008133DB">
        <w:rPr>
          <w:b w:val="0"/>
          <w:bCs w:val="0"/>
          <w:highlight w:val="green"/>
        </w:rPr>
        <w:t xml:space="preserve">El detalle de aplicación de los Anexos </w:t>
      </w:r>
      <w:r w:rsidR="008133DB" w:rsidRPr="008133DB">
        <w:rPr>
          <w:b w:val="0"/>
          <w:bCs w:val="0"/>
          <w:highlight w:val="green"/>
        </w:rPr>
        <w:t>(</w:t>
      </w:r>
      <w:r w:rsidR="008133DB" w:rsidRPr="008133DB">
        <w:rPr>
          <w:b w:val="0"/>
          <w:bCs w:val="0"/>
          <w:highlight w:val="green"/>
        </w:rPr>
        <w:t>los formatos, los criterios de registro, los catálogos de valores y los indicadores operativos, así como los campos adicionales que resulten necesarios</w:t>
      </w:r>
      <w:r w:rsidR="008133DB" w:rsidRPr="008133DB">
        <w:rPr>
          <w:b w:val="0"/>
          <w:bCs w:val="0"/>
          <w:highlight w:val="green"/>
        </w:rPr>
        <w:t>)</w:t>
      </w:r>
      <w:r w:rsidR="008133DB" w:rsidRPr="008133DB">
        <w:rPr>
          <w:b w:val="0"/>
          <w:bCs w:val="0"/>
          <w:highlight w:val="green"/>
        </w:rPr>
        <w:t xml:space="preserve"> se establece en los documentos normativos institucionales </w:t>
      </w:r>
      <w:r w:rsidR="008133DB" w:rsidRPr="008133DB">
        <w:rPr>
          <w:b w:val="0"/>
          <w:bCs w:val="0"/>
          <w:highlight w:val="green"/>
        </w:rPr>
        <w:lastRenderedPageBreak/>
        <w:t>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w:t>
      </w:r>
      <w:r w:rsidR="00FC0075" w:rsidRPr="00590BAB">
        <w:rPr>
          <w:b w:val="0"/>
          <w:bCs w:val="0"/>
          <w:highlight w:val="green"/>
        </w:rPr>
        <w:t>En tanto no se emitan dichos lineamientos y no se designe al OIA, las funciones de coordinación técnica en materia de IA son ejercidas por el Coordinador de la Comisión de Gobierno de IA que designe el CGTD conforme al numeral 7.3.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w:t>
      </w:r>
      <w:r w:rsidR="004A0CE8" w:rsidRPr="004A0CE8">
        <w:rPr>
          <w:b w:val="0"/>
          <w:bCs w:val="0"/>
          <w:highlight w:val="green"/>
        </w:rPr>
        <w:t>La formulación del PAIA corresponde al OIA, conforme al numeral 6.4 del artículo 6 de la ENIA, una vez designado según el numeral 7.10 y aprobado o implementado el PAGD.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sidR="00641EAF" w:rsidRPr="00641EAF">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sidRPr="003E2526">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sidRPr="00E810C0">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Resultado de la determinación prevista en el numeral 6.5.7,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Unidades de organización que integran el equipo técnico del SBIA conforme al numeral 6.1.6 y fecha de su conformación.</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w:t>
            </w:r>
            <w:r w:rsidRPr="003E2526">
              <w:rPr>
                <w:rFonts w:ascii="Arial" w:eastAsia="Arial" w:hAnsi="Arial" w:cs="Arial"/>
                <w:b/>
                <w:bCs/>
                <w:highlight w:val="yellow"/>
              </w:rPr>
              <w:t>(Art.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sidRPr="003E2526">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sidRPr="003E2526">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sidRPr="003E2526">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sidRPr="003E2526">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sidRPr="003E2526">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sidRPr="00641EAF">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 xml:space="preserve">Cumplimiento normativo: Ley IA, </w:t>
      </w:r>
      <w:r w:rsidR="00EC79A5">
        <w:rPr>
          <w:b w:val="0"/>
          <w:bCs w:val="0"/>
          <w:color w:val="000000"/>
        </w:rPr>
        <w:t>RLIA</w:t>
      </w:r>
      <w:r>
        <w:rPr>
          <w:b w:val="0"/>
          <w:bCs w:val="0"/>
          <w:color w:val="000000"/>
        </w:rPr>
        <w:t>, protección de datos</w:t>
      </w:r>
      <w:r w:rsidR="00EC79A5">
        <w:rPr>
          <w:b w:val="0"/>
          <w:bCs w:val="0"/>
          <w:color w:val="000000"/>
        </w:rPr>
        <w:t xml:space="preserve"> personales y</w:t>
      </w:r>
      <w:r>
        <w:rPr>
          <w:b w:val="0"/>
          <w:bCs w:val="0"/>
          <w:color w:val="000000"/>
        </w:rPr>
        <w:t xml:space="preserve">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sidRPr="00EC79A5">
        <w:rPr>
          <w:b w:val="0"/>
          <w:bCs w:val="0"/>
          <w:color w:val="000000"/>
          <w:highlight w:val="green"/>
        </w:rPr>
        <w:t>Revisiones y aprobación: firmas del propietario del caso de uso, de la Comisión de Gobierno de IA, de la OII y de la INALI, esta última en materia de cumplimiento normativo, en señal de revisión conforme al numeral 6.4.2; referencia a la opinión de la Intendencia Nacional Jurídico Tributaria o de la Intendencia Nacional Jurídico Aduanera cuando se hubiera convocado conforme al numeral 5.4; y referencia al acuerdo del CGTD que aprueba la EIA, conforme al numeral 6.4.1.</w:t>
      </w:r>
      <w:r w:rsidR="00863A18" w:rsidRPr="00EC21E7">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sidRPr="0037497B">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lastRenderedPageBreak/>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sidRPr="00CA74AD">
        <w:rPr>
          <w:b w:val="0"/>
          <w:bCs w:val="0"/>
          <w:color w:val="000000"/>
          <w:highlight w:val="green"/>
        </w:rPr>
        <w:t>V</w:t>
      </w:r>
      <w:r w:rsidRPr="00CA74AD">
        <w:rPr>
          <w:b w:val="0"/>
          <w:bCs w:val="0"/>
          <w:color w:val="000000"/>
          <w:highlight w:val="green"/>
        </w:rPr>
        <w:t>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sidRPr="0037497B">
        <w:rPr>
          <w:b w:val="0"/>
          <w:bCs w:val="0"/>
          <w:highlight w:val="green"/>
        </w:rPr>
        <w:t>Pronunciamiento de la Comisión de Gobierno de IA conforme al numeral 6.15.1 y firma de su Coordinador.</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D6393" w14:textId="77777777" w:rsidR="00504F9E" w:rsidRDefault="00504F9E">
      <w:pPr>
        <w:spacing w:after="0" w:line="240" w:lineRule="auto"/>
      </w:pPr>
      <w:r>
        <w:separator/>
      </w:r>
    </w:p>
  </w:endnote>
  <w:endnote w:type="continuationSeparator" w:id="0">
    <w:p w14:paraId="19822B88" w14:textId="77777777" w:rsidR="00504F9E" w:rsidRDefault="00504F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780D6" w14:textId="77777777" w:rsidR="00504F9E" w:rsidRDefault="00504F9E">
      <w:pPr>
        <w:spacing w:after="0" w:line="240" w:lineRule="auto"/>
      </w:pPr>
      <w:r>
        <w:separator/>
      </w:r>
    </w:p>
  </w:footnote>
  <w:footnote w:type="continuationSeparator" w:id="0">
    <w:p w14:paraId="2F4D2B24" w14:textId="77777777" w:rsidR="00504F9E" w:rsidRDefault="00504F9E">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1383"/>
    <w:rsid w:val="001F16B0"/>
    <w:rsid w:val="001F28C5"/>
    <w:rsid w:val="00206379"/>
    <w:rsid w:val="002102ED"/>
    <w:rsid w:val="00215BA9"/>
    <w:rsid w:val="002222E3"/>
    <w:rsid w:val="00226840"/>
    <w:rsid w:val="00236A5F"/>
    <w:rsid w:val="002555BF"/>
    <w:rsid w:val="00261D87"/>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5F7"/>
    <w:rsid w:val="003327C9"/>
    <w:rsid w:val="0033689D"/>
    <w:rsid w:val="0034493F"/>
    <w:rsid w:val="00344C8A"/>
    <w:rsid w:val="00352D87"/>
    <w:rsid w:val="003530CE"/>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4F9E"/>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10535</TotalTime>
  <Pages>47</Pages>
  <Words>16437</Words>
  <Characters>90404</Characters>
  <Application>Microsoft Office Word</Application>
  <DocSecurity>0</DocSecurity>
  <Lines>753</Lines>
  <Paragraphs>213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241</cp:revision>
  <dcterms:created xsi:type="dcterms:W3CDTF">2026-03-23T21:09:00Z</dcterms:created>
  <dcterms:modified xsi:type="dcterms:W3CDTF">2026-08-28T15:50:00Z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