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12EDA" w14:textId="77777777" w:rsidR="0060099A" w:rsidRPr="00863A18" w:rsidRDefault="0060099A" w:rsidP="00ED2DC8">
      <w:pPr>
        <w:spacing w:after="0" w:line="240" w:lineRule="auto"/>
        <w:jc w:val="center"/>
        <w:rPr>
          <w:rFonts w:ascii="Arial" w:hAnsi="Arial" w:cs="Arial"/>
        </w:rPr>
      </w:pPr>
      <w:bookmarkStart w:id="0" w:name="_Hlk8641159"/>
    </w:p>
    <w:bookmarkEnd w:id="0"/>
    <w:p w14:paraId="1BCF1B1E" w14:textId="77777777" w:rsidR="0060099A" w:rsidRPr="00863A18" w:rsidRDefault="0060099A" w:rsidP="00ED2DC8">
      <w:pPr>
        <w:spacing w:after="0" w:line="240" w:lineRule="auto"/>
        <w:jc w:val="center"/>
        <w:rPr>
          <w:rFonts w:ascii="Arial" w:hAnsi="Arial" w:cs="Arial"/>
        </w:rPr>
      </w:pPr>
    </w:p>
    <w:p w14:paraId="73501108" w14:textId="77777777" w:rsidR="0060099A" w:rsidRPr="00863A18" w:rsidRDefault="0060099A" w:rsidP="00ED2DC8">
      <w:pPr>
        <w:spacing w:after="0" w:line="240" w:lineRule="auto"/>
        <w:jc w:val="center"/>
        <w:rPr>
          <w:rFonts w:ascii="Arial" w:hAnsi="Arial" w:cs="Arial"/>
        </w:rPr>
      </w:pPr>
    </w:p>
    <w:p w14:paraId="61AA5684" w14:textId="77777777" w:rsidR="0060099A" w:rsidRPr="00863A18" w:rsidRDefault="0060099A" w:rsidP="00ED2DC8">
      <w:pPr>
        <w:spacing w:after="0" w:line="240" w:lineRule="auto"/>
        <w:jc w:val="center"/>
        <w:rPr>
          <w:rFonts w:ascii="Arial" w:hAnsi="Arial" w:cs="Arial"/>
        </w:rPr>
      </w:pPr>
    </w:p>
    <w:p w14:paraId="5EC5F479" w14:textId="77777777" w:rsidR="0060099A" w:rsidRPr="00863A18" w:rsidRDefault="0060099A" w:rsidP="00ED2DC8">
      <w:pPr>
        <w:spacing w:after="0" w:line="240" w:lineRule="auto"/>
        <w:jc w:val="center"/>
        <w:rPr>
          <w:rFonts w:ascii="Arial" w:hAnsi="Arial" w:cs="Arial"/>
        </w:rPr>
      </w:pPr>
    </w:p>
    <w:p w14:paraId="6B409CB9"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6EA6AC39" wp14:editId="0B29F395">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28C94C16" w14:textId="77777777" w:rsidR="0060099A" w:rsidRPr="00863A18" w:rsidRDefault="0060099A" w:rsidP="00ED2DC8">
      <w:pPr>
        <w:spacing w:after="0" w:line="240" w:lineRule="auto"/>
        <w:jc w:val="center"/>
        <w:rPr>
          <w:rFonts w:ascii="Arial" w:hAnsi="Arial" w:cs="Arial"/>
          <w:b/>
          <w:bCs/>
        </w:rPr>
      </w:pPr>
    </w:p>
    <w:p w14:paraId="4D78AA9A" w14:textId="77777777" w:rsidR="0060099A" w:rsidRPr="00863A18" w:rsidRDefault="0060099A" w:rsidP="00ED2DC8">
      <w:pPr>
        <w:spacing w:after="0" w:line="240" w:lineRule="auto"/>
        <w:jc w:val="center"/>
        <w:rPr>
          <w:rFonts w:ascii="Arial" w:hAnsi="Arial" w:cs="Arial"/>
          <w:b/>
          <w:bCs/>
        </w:rPr>
      </w:pPr>
    </w:p>
    <w:p w14:paraId="2935C225" w14:textId="77777777" w:rsidR="00521B40" w:rsidRPr="00863A18" w:rsidRDefault="00521B40" w:rsidP="00ED2DC8">
      <w:pPr>
        <w:spacing w:after="0" w:line="240" w:lineRule="auto"/>
        <w:jc w:val="right"/>
        <w:rPr>
          <w:rFonts w:ascii="Arial" w:hAnsi="Arial" w:cs="Arial"/>
          <w:b/>
          <w:bCs/>
          <w:sz w:val="56"/>
          <w:szCs w:val="56"/>
        </w:rPr>
      </w:pPr>
    </w:p>
    <w:p w14:paraId="0E65C403" w14:textId="77777777" w:rsidR="00521B40" w:rsidRPr="00863A18" w:rsidRDefault="00521B40" w:rsidP="00ED2DC8">
      <w:pPr>
        <w:spacing w:after="0" w:line="240" w:lineRule="auto"/>
        <w:jc w:val="right"/>
        <w:rPr>
          <w:rFonts w:ascii="Arial" w:hAnsi="Arial" w:cs="Arial"/>
          <w:b/>
          <w:bCs/>
          <w:sz w:val="56"/>
          <w:szCs w:val="56"/>
        </w:rPr>
      </w:pPr>
    </w:p>
    <w:p w14:paraId="711D4DE6" w14:textId="77777777" w:rsidR="00521B40" w:rsidRPr="00863A18" w:rsidRDefault="00521B40" w:rsidP="00ED2DC8">
      <w:pPr>
        <w:spacing w:after="0" w:line="240" w:lineRule="auto"/>
        <w:jc w:val="right"/>
        <w:rPr>
          <w:rFonts w:ascii="Arial" w:hAnsi="Arial" w:cs="Arial"/>
          <w:b/>
          <w:bCs/>
          <w:sz w:val="56"/>
          <w:szCs w:val="56"/>
        </w:rPr>
      </w:pPr>
    </w:p>
    <w:p w14:paraId="0C427435"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6C70CE46" w14:textId="77777777" w:rsidR="0060099A" w:rsidRPr="00863A18" w:rsidRDefault="0060099A" w:rsidP="00ED2DC8">
      <w:pPr>
        <w:pStyle w:val="Versin"/>
        <w:jc w:val="right"/>
        <w:rPr>
          <w:rFonts w:ascii="Arial" w:hAnsi="Arial" w:cs="Arial"/>
        </w:rPr>
      </w:pPr>
      <w:r>
        <w:rPr>
          <w:rFonts w:ascii="Arial" w:hAnsi="Arial" w:cs="Arial"/>
        </w:rPr>
        <w:t>Versión 1.0</w:t>
      </w:r>
    </w:p>
    <w:p w14:paraId="3EA63609" w14:textId="77777777" w:rsidR="0060099A" w:rsidRPr="00863A18" w:rsidRDefault="0060099A" w:rsidP="00ED2DC8">
      <w:pPr>
        <w:spacing w:after="0" w:line="240" w:lineRule="auto"/>
        <w:jc w:val="right"/>
        <w:rPr>
          <w:rFonts w:ascii="Arial" w:eastAsiaTheme="minorHAnsi" w:hAnsi="Arial" w:cs="Arial"/>
          <w:b/>
          <w:sz w:val="56"/>
          <w:szCs w:val="56"/>
        </w:rPr>
      </w:pPr>
    </w:p>
    <w:p w14:paraId="0973D29C"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63724BC1" wp14:editId="32D126E5">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63724BC1"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" strokeweight="2.25pt">
                <v:shadow offset="6pt,6pt"/>
                <v:textbo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3B636E42" w14:textId="77777777" w:rsidR="0060099A" w:rsidRPr="00863A18" w:rsidRDefault="0060099A" w:rsidP="00ED2DC8">
      <w:pPr>
        <w:spacing w:after="0" w:line="240" w:lineRule="auto"/>
        <w:jc w:val="center"/>
        <w:rPr>
          <w:rFonts w:ascii="Arial" w:eastAsia="Calibri" w:hAnsi="Arial" w:cs="Arial"/>
        </w:rPr>
      </w:pPr>
    </w:p>
    <w:p w14:paraId="7089ADAB" w14:textId="77777777" w:rsidR="0060099A" w:rsidRPr="00863A18" w:rsidRDefault="0060099A" w:rsidP="00ED2DC8">
      <w:pPr>
        <w:spacing w:after="0" w:line="240" w:lineRule="auto"/>
        <w:jc w:val="center"/>
        <w:rPr>
          <w:rFonts w:ascii="Arial" w:eastAsia="Calibri" w:hAnsi="Arial" w:cs="Arial"/>
        </w:rPr>
      </w:pPr>
    </w:p>
    <w:p w14:paraId="6CD87533" w14:textId="77777777" w:rsidR="0060099A" w:rsidRPr="00863A18" w:rsidRDefault="0060099A" w:rsidP="00ED2DC8">
      <w:pPr>
        <w:spacing w:after="0" w:line="240" w:lineRule="auto"/>
        <w:jc w:val="center"/>
        <w:rPr>
          <w:rFonts w:ascii="Arial" w:eastAsia="Calibri" w:hAnsi="Arial" w:cs="Arial"/>
        </w:rPr>
      </w:pPr>
    </w:p>
    <w:p w14:paraId="47151DF0" w14:textId="77777777" w:rsidR="0060099A" w:rsidRPr="00863A18" w:rsidRDefault="0060099A" w:rsidP="00ED2DC8">
      <w:pPr>
        <w:spacing w:after="0" w:line="240" w:lineRule="auto"/>
        <w:jc w:val="center"/>
        <w:rPr>
          <w:rFonts w:ascii="Arial" w:eastAsia="Calibri" w:hAnsi="Arial" w:cs="Arial"/>
        </w:rPr>
      </w:pPr>
    </w:p>
    <w:p w14:paraId="102A5622" w14:textId="77777777" w:rsidR="00521B40" w:rsidRPr="00863A18" w:rsidRDefault="00521B40" w:rsidP="00ED2DC8">
      <w:pPr>
        <w:spacing w:after="0" w:line="240" w:lineRule="auto"/>
        <w:jc w:val="center"/>
        <w:rPr>
          <w:rFonts w:ascii="Arial" w:eastAsia="Calibri" w:hAnsi="Arial" w:cs="Arial"/>
        </w:rPr>
      </w:pPr>
    </w:p>
    <w:p w14:paraId="433716F1" w14:textId="77777777" w:rsidR="00521B40" w:rsidRPr="00863A18" w:rsidRDefault="00521B40" w:rsidP="00ED2DC8">
      <w:pPr>
        <w:spacing w:after="0" w:line="240" w:lineRule="auto"/>
        <w:jc w:val="center"/>
        <w:rPr>
          <w:rFonts w:ascii="Arial" w:eastAsia="Calibri" w:hAnsi="Arial" w:cs="Arial"/>
        </w:rPr>
      </w:pPr>
    </w:p>
    <w:p w14:paraId="3377E50E" w14:textId="77777777" w:rsidR="004503ED" w:rsidRDefault="004503ED" w:rsidP="00ED2DC8">
      <w:pPr>
        <w:spacing w:after="0" w:line="240" w:lineRule="auto"/>
        <w:jc w:val="center"/>
        <w:rPr>
          <w:rFonts w:ascii="Arial" w:eastAsia="Calibri" w:hAnsi="Arial" w:cs="Arial"/>
        </w:rPr>
      </w:pPr>
    </w:p>
    <w:p w14:paraId="199B2B32" w14:textId="77777777" w:rsidR="004503ED" w:rsidRPr="00863A18" w:rsidRDefault="004503ED" w:rsidP="00ED2DC8">
      <w:pPr>
        <w:spacing w:after="0" w:line="240" w:lineRule="auto"/>
        <w:jc w:val="center"/>
        <w:rPr>
          <w:rFonts w:ascii="Arial" w:eastAsia="Calibri" w:hAnsi="Arial" w:cs="Arial"/>
        </w:rPr>
      </w:pPr>
    </w:p>
    <w:p w14:paraId="70D4E039"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31AADA5A"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02877B0D" w14:textId="77777777" w:rsidR="0060099A" w:rsidRPr="00863A18" w:rsidRDefault="0060099A" w:rsidP="00ED2DC8">
      <w:pPr>
        <w:spacing w:after="0" w:line="240" w:lineRule="auto"/>
        <w:jc w:val="center"/>
        <w:rPr>
          <w:rFonts w:ascii="Arial" w:hAnsi="Arial" w:cs="Arial"/>
          <w:b/>
          <w:bCs/>
          <w:sz w:val="32"/>
          <w:szCs w:val="32"/>
        </w:rPr>
      </w:pPr>
    </w:p>
    <w:p w14:paraId="228858B9"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63C0711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68C0A0C7"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0E4EF6C" w14:textId="77777777" w:rsidR="00833450" w:rsidRPr="00863A18" w:rsidRDefault="00833450" w:rsidP="00B23382">
      <w:pPr>
        <w:spacing w:after="0" w:line="240" w:lineRule="auto"/>
        <w:jc w:val="center"/>
        <w:rPr>
          <w:rFonts w:ascii="Arial" w:hAnsi="Arial" w:cs="Arial"/>
        </w:rPr>
      </w:pPr>
    </w:p>
    <w:p w14:paraId="29C1E91D" w14:textId="77777777"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r>
      <w:r>
        <w:rPr>
          <w:rFonts w:ascii="Arial" w:hAnsi="Arial" w:cs="Arial"/>
          <w:bCs/>
          <w:noProof w:val="0"/>
          <w:szCs w:val="22"/>
        </w:rPr>
        <w:instrText xml:space="preserve"> TOC \o "1-3" \h \z \u </w:instrText>
      </w:r>
      <w:r>
        <w:rPr>
          <w:rFonts w:ascii="Arial" w:hAnsi="Arial" w:cs="Arial"/>
          <w:bCs/>
          <w:noProof w:val="0"/>
          <w:szCs w:val="22"/>
        </w:rPr>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r>
        <w:r>
          <w:rPr>
            <w:webHidden/>
          </w:rPr>
          <w:fldChar w:fldCharType="begin"/>
        </w:r>
        <w:r>
          <w:rPr>
            <w:webHidden/>
          </w:rPr>
          <w:instrText xml:space="preserve"> PAGEREF _Toc235003961 \h </w:instrText>
        </w:r>
        <w:r>
          <w:rPr>
            <w:webHidden/>
          </w:rPr>
        </w:r>
        <w:r>
          <w:rPr>
            <w:webHidden/>
          </w:rPr>
          <w:fldChar w:fldCharType="separate"/>
        </w:r>
        <w:r>
          <w:rPr>
            <w:webHidden/>
          </w:rPr>
          <w:t>4</w:t>
        </w:r>
        <w:r>
          <w:rPr>
            <w:webHidden/>
          </w:rPr>
          <w:fldChar w:fldCharType="end"/>
        </w:r>
      </w:hyperlink>
    </w:p>
    <w:p w14:paraId="0F18C013" w14:textId="77777777"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r>
        <w:r>
          <w:rPr>
            <w:webHidden/>
          </w:rPr>
          <w:fldChar w:fldCharType="begin"/>
        </w:r>
        <w:r>
          <w:rPr>
            <w:webHidden/>
          </w:rPr>
          <w:instrText xml:space="preserve"> PAGEREF _Toc235003962 \h </w:instrText>
        </w:r>
        <w:r>
          <w:rPr>
            <w:webHidden/>
          </w:rPr>
        </w:r>
        <w:r>
          <w:rPr>
            <w:webHidden/>
          </w:rPr>
          <w:fldChar w:fldCharType="separate"/>
        </w:r>
        <w:r>
          <w:rPr>
            <w:webHidden/>
          </w:rPr>
          <w:t>4</w:t>
        </w:r>
        <w:r>
          <w:rPr>
            <w:webHidden/>
          </w:rPr>
          <w:fldChar w:fldCharType="end"/>
        </w:r>
      </w:hyperlink>
    </w:p>
    <w:p w14:paraId="438D57C4" w14:textId="77777777"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r>
        <w:r>
          <w:rPr>
            <w:webHidden/>
          </w:rPr>
          <w:fldChar w:fldCharType="begin"/>
        </w:r>
        <w:r>
          <w:rPr>
            <w:webHidden/>
          </w:rPr>
          <w:instrText xml:space="preserve"> PAGEREF _Toc235003963 \h </w:instrText>
        </w:r>
        <w:r>
          <w:rPr>
            <w:webHidden/>
          </w:rPr>
        </w:r>
        <w:r>
          <w:rPr>
            <w:webHidden/>
          </w:rPr>
          <w:fldChar w:fldCharType="separate"/>
        </w:r>
        <w:r>
          <w:rPr>
            <w:webHidden/>
          </w:rPr>
          <w:t>4</w:t>
        </w:r>
        <w:r>
          <w:rPr>
            <w:webHidden/>
          </w:rPr>
          <w:fldChar w:fldCharType="end"/>
        </w:r>
      </w:hyperlink>
    </w:p>
    <w:p w14:paraId="206CE341" w14:textId="77777777"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r>
        <w:r>
          <w:rPr>
            <w:webHidden/>
          </w:rPr>
          <w:fldChar w:fldCharType="begin"/>
        </w:r>
        <w:r>
          <w:rPr>
            <w:webHidden/>
          </w:rPr>
          <w:instrText xml:space="preserve"> PAGEREF _Toc235003964 \h </w:instrText>
        </w:r>
        <w:r>
          <w:rPr>
            <w:webHidden/>
          </w:rPr>
        </w:r>
        <w:r>
          <w:rPr>
            <w:webHidden/>
          </w:rPr>
          <w:fldChar w:fldCharType="separate"/>
        </w:r>
        <w:r>
          <w:rPr>
            <w:webHidden/>
          </w:rPr>
          <w:t>6</w:t>
        </w:r>
        <w:r>
          <w:rPr>
            <w:webHidden/>
          </w:rPr>
          <w:fldChar w:fldCharType="end"/>
        </w:r>
      </w:hyperlink>
    </w:p>
    <w:p w14:paraId="0C57016B" w14:textId="77777777"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r>
        <w:r>
          <w:rPr>
            <w:webHidden/>
          </w:rPr>
          <w:fldChar w:fldCharType="begin"/>
        </w:r>
        <w:r>
          <w:rPr>
            <w:webHidden/>
          </w:rPr>
          <w:instrText xml:space="preserve"> PAGEREF _Toc235003965 \h </w:instrText>
        </w:r>
        <w:r>
          <w:rPr>
            <w:webHidden/>
          </w:rPr>
        </w:r>
        <w:r>
          <w:rPr>
            <w:webHidden/>
          </w:rPr>
          <w:fldChar w:fldCharType="separate"/>
        </w:r>
        <w:r>
          <w:rPr>
            <w:webHidden/>
          </w:rPr>
          <w:t>7</w:t>
        </w:r>
        <w:r>
          <w:rPr>
            <w:webHidden/>
          </w:rPr>
          <w:fldChar w:fldCharType="end"/>
        </w:r>
      </w:hyperlink>
    </w:p>
    <w:p w14:paraId="00DE2052" w14:textId="77777777"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r>
        <w:r>
          <w:rPr>
            <w:webHidden/>
          </w:rPr>
          <w:fldChar w:fldCharType="begin"/>
        </w:r>
        <w:r>
          <w:rPr>
            <w:webHidden/>
          </w:rPr>
          <w:instrText xml:space="preserve"> PAGEREF _Toc235003966 \h </w:instrText>
        </w:r>
        <w:r>
          <w:rPr>
            <w:webHidden/>
          </w:rPr>
        </w:r>
        <w:r>
          <w:rPr>
            <w:webHidden/>
          </w:rPr>
          <w:fldChar w:fldCharType="separate"/>
        </w:r>
        <w:r>
          <w:rPr>
            <w:webHidden/>
          </w:rPr>
          <w:t>10</w:t>
        </w:r>
        <w:r>
          <w:rPr>
            <w:webHidden/>
          </w:rPr>
          <w:fldChar w:fldCharType="end"/>
        </w:r>
      </w:hyperlink>
    </w:p>
    <w:p w14:paraId="648A90FA" w14:textId="77777777"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r>
        <w:r>
          <w:rPr>
            <w:webHidden/>
          </w:rPr>
          <w:fldChar w:fldCharType="begin"/>
        </w:r>
        <w:r>
          <w:rPr>
            <w:webHidden/>
          </w:rPr>
          <w:instrText xml:space="preserve"> PAGEREF _Toc235003967 \h </w:instrText>
        </w:r>
        <w:r>
          <w:rPr>
            <w:webHidden/>
          </w:rPr>
        </w:r>
        <w:r>
          <w:rPr>
            <w:webHidden/>
          </w:rPr>
          <w:fldChar w:fldCharType="separate"/>
        </w:r>
        <w:r>
          <w:rPr>
            <w:webHidden/>
          </w:rPr>
          <w:t>21</w:t>
        </w:r>
        <w:r>
          <w:rPr>
            <w:webHidden/>
          </w:rPr>
          <w:fldChar w:fldCharType="end"/>
        </w:r>
      </w:hyperlink>
    </w:p>
    <w:p w14:paraId="32E8A096" w14:textId="77777777"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r>
        <w:r>
          <w:rPr>
            <w:webHidden/>
          </w:rPr>
          <w:fldChar w:fldCharType="begin"/>
        </w:r>
        <w:r>
          <w:rPr>
            <w:webHidden/>
          </w:rPr>
          <w:instrText xml:space="preserve"> PAGEREF _Toc235003968 \h </w:instrText>
        </w:r>
        <w:r>
          <w:rPr>
            <w:webHidden/>
          </w:rPr>
        </w:r>
        <w:r>
          <w:rPr>
            <w:webHidden/>
          </w:rPr>
          <w:fldChar w:fldCharType="separate"/>
        </w:r>
        <w:r>
          <w:rPr>
            <w:webHidden/>
          </w:rPr>
          <w:t>22</w:t>
        </w:r>
        <w:r>
          <w:rPr>
            <w:webHidden/>
          </w:rPr>
          <w:fldChar w:fldCharType="end"/>
        </w:r>
      </w:hyperlink>
    </w:p>
    <w:p w14:paraId="216570A9"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4B9FD8E3"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E505FF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7C7E8F5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1E4D420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14EA456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7A766CB7"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2C35AD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225E4A4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1654057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GSI: Gerencia de Seguridad de la Información</w:t>
      </w:r>
    </w:p>
    <w:p w14:paraId="3063971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77A8A299"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1B72C5D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1D1C7F2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6945ED67"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79BEB4D7" w14:textId="5EE47D4B" w:rsidR="00BA798A" w:rsidRPr="00C733EA" w:rsidRDefault="00BA798A">
      <w:pPr>
        <w:pStyle w:val="Prrafodelista"/>
        <w:numPr>
          <w:ilvl w:val="0"/>
          <w:numId w:val="18"/>
        </w:numPr>
        <w:spacing w:line="276" w:lineRule="auto"/>
        <w:rPr>
          <w:b w:val="0"/>
          <w:bCs w:val="0"/>
          <w:color w:val="000000"/>
        </w:rPr>
      </w:pPr>
      <w:r w:rsidRPr="00BA798A">
        <w:rPr>
          <w:b w:val="0"/>
          <w:bCs w:val="0"/>
          <w:color w:val="000000"/>
          <w:highlight w:val="lightGray"/>
        </w:rPr>
        <w:t>METGEP: Metodología para la Gestión por Procesos</w:t>
      </w:r>
    </w:p>
    <w:p w14:paraId="3AB16F2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MLOps: Operaciones de aprendizaje automático (Machine Learning Operations)</w:t>
      </w:r>
    </w:p>
    <w:p w14:paraId="4401B968" w14:textId="77777777" w:rsid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1B5DC9E4" w14:textId="29F7E237" w:rsidR="00A402D8" w:rsidRPr="00A402D8" w:rsidRDefault="00A402D8">
      <w:pPr>
        <w:pStyle w:val="Prrafodelista"/>
        <w:numPr>
          <w:ilvl w:val="0"/>
          <w:numId w:val="18"/>
        </w:numPr>
        <w:spacing w:line="276" w:lineRule="auto"/>
        <w:rPr>
          <w:b w:val="0"/>
          <w:bCs w:val="0"/>
          <w:color w:val="000000"/>
          <w:highlight w:val="green"/>
        </w:rPr>
      </w:pPr>
      <w:r w:rsidRPr="00A402D8">
        <w:rPr>
          <w:b w:val="0"/>
          <w:bCs w:val="0"/>
          <w:color w:val="000000"/>
          <w:highlight w:val="green"/>
        </w:rPr>
        <w:t>OCDE: Organización para la Cooperación y el Desarrollo Económico</w:t>
      </w:r>
    </w:p>
    <w:p w14:paraId="113291E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5C1399C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76FEC80B"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274D580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5D365B68"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95D895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OSCD: Oficial de Seguridad y Confianza Digital</w:t>
      </w:r>
    </w:p>
    <w:p w14:paraId="646A78F0"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63AE811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389AB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22D2F546"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PDP: Plan de Desarrollo de las Personas</w:t>
      </w:r>
    </w:p>
    <w:p w14:paraId="121851D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PEI: Plan Estratégico Institucional</w:t>
      </w:r>
    </w:p>
    <w:p w14:paraId="4A07EBD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2CF0397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16D8EB8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1ACFC8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043DE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36CC2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1689EA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59C4D35" w14:textId="77777777" w:rsidR="00C733EA" w:rsidRDefault="00C733EA">
      <w:pPr>
        <w:pStyle w:val="Prrafodelista"/>
        <w:numPr>
          <w:ilvl w:val="0"/>
          <w:numId w:val="18"/>
        </w:numPr>
        <w:spacing w:line="276" w:lineRule="auto"/>
        <w:rPr>
          <w:b w:val="0"/>
          <w:bCs w:val="0"/>
          <w:color w:val="000000"/>
        </w:rPr>
      </w:pPr>
      <w:r>
        <w:rPr>
          <w:b w:val="0"/>
          <w:bCs w:val="0"/>
          <w:color w:val="000000"/>
        </w:rPr>
        <w:t>SGIA: Sistema de Gestión de Inteligencia Artificial</w:t>
      </w:r>
    </w:p>
    <w:p w14:paraId="484AB57B"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7521179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1193930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SN: Superintendencia Nacional</w:t>
      </w:r>
    </w:p>
    <w:p w14:paraId="657CB8AD"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7CC5C113"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498CFC40"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B5F0F3" w14:textId="77777777" w:rsidR="0018147B" w:rsidRDefault="00000000">
      <w:pPr>
        <w:spacing w:after="60" w:line="276" w:lineRule="auto"/>
        <w:jc w:val="both"/>
        <w:rPr>
          <w:rFonts w:ascii="Arial" w:hAnsi="Arial" w:cs="Arial"/>
        </w:rPr>
      </w:pPr>
      <w:r>
        <w:rPr>
          <w:rFonts w:ascii="Arial" w:hAnsi="Arial" w:cs="Arial"/>
          <w:highlight w:val="yellow"/>
        </w:rPr>
        <w:t>Establecer las disposiciones para el gobierno, la gestión del ciclo de vida y el uso responsable de los Sistemas Basados en Inteligencia Artificial (SBIA) en la SUNAT, precisando los compromisos establecidos en la Política de Uso Seguro, Responsable y Ético de los SBIA y tomando como marco de referencia la NTP-ISO/IEC 42001:2025, para garantizar su alineamiento con la estrategia institucional, el cumplimiento del marco normativo vigente, la protección de los derechos de los administrados, la reserva tributaria y la seguridad de la información.</w:t>
      </w:r>
    </w:p>
    <w:p w14:paraId="034E970E" w14:textId="5DEDE38F" w:rsidR="00D443F8" w:rsidRDefault="00226840" w:rsidP="00226840">
      <w:pPr>
        <w:spacing w:after="60" w:line="276" w:lineRule="auto"/>
        <w:jc w:val="both"/>
        <w:rPr>
          <w:rFonts w:ascii="Arial" w:hAnsi="Arial" w:cs="Arial"/>
        </w:rPr>
      </w:pPr>
      <w:r w:rsidRPr="00226840">
        <w:rPr>
          <w:rFonts w:ascii="Arial" w:hAnsi="Arial" w:cs="Arial"/>
          <w:highlight w:val="green"/>
        </w:rPr>
        <w:t>La presente directiva regula la gestión de los SBIA solo en lo específico de la</w:t>
      </w:r>
      <w:r w:rsidRPr="00226840">
        <w:rPr>
          <w:rFonts w:ascii="Arial" w:hAnsi="Arial" w:cs="Arial"/>
          <w:highlight w:val="green"/>
        </w:rPr>
        <w:t xml:space="preserve"> </w:t>
      </w:r>
      <w:r w:rsidRPr="00226840">
        <w:rPr>
          <w:rFonts w:ascii="Arial" w:hAnsi="Arial" w:cs="Arial"/>
          <w:highlight w:val="green"/>
        </w:rPr>
        <w:t>inteligencia artificial. No sustituye a los documentos normativos institucionales que</w:t>
      </w:r>
      <w:r w:rsidRPr="00226840">
        <w:rPr>
          <w:rFonts w:ascii="Arial" w:hAnsi="Arial" w:cs="Arial"/>
          <w:highlight w:val="green"/>
        </w:rPr>
        <w:t xml:space="preserve"> </w:t>
      </w:r>
      <w:r w:rsidRPr="00226840">
        <w:rPr>
          <w:rFonts w:ascii="Arial" w:hAnsi="Arial" w:cs="Arial"/>
          <w:highlight w:val="green"/>
        </w:rPr>
        <w:t>regulan la gestión de proyectos, el desarrollo de sistemas, la gobernanza de datos, la</w:t>
      </w:r>
      <w:r w:rsidRPr="00226840">
        <w:rPr>
          <w:rFonts w:ascii="Arial" w:hAnsi="Arial" w:cs="Arial"/>
          <w:highlight w:val="green"/>
        </w:rPr>
        <w:t xml:space="preserve"> </w:t>
      </w:r>
      <w:r w:rsidRPr="00226840">
        <w:rPr>
          <w:rFonts w:ascii="Arial" w:hAnsi="Arial" w:cs="Arial"/>
          <w:highlight w:val="green"/>
        </w:rPr>
        <w:t>seguridad de la información, las contrataciones y la gestión de las personas: sobre</w:t>
      </w:r>
      <w:r w:rsidRPr="00226840">
        <w:rPr>
          <w:rFonts w:ascii="Arial" w:hAnsi="Arial" w:cs="Arial"/>
          <w:highlight w:val="green"/>
        </w:rPr>
        <w:t xml:space="preserve"> </w:t>
      </w:r>
      <w:r w:rsidRPr="00226840">
        <w:rPr>
          <w:rFonts w:ascii="Arial" w:hAnsi="Arial" w:cs="Arial"/>
          <w:highlight w:val="green"/>
        </w:rPr>
        <w:t>ellos identifica el control adicional que exige el componente de IA.</w:t>
      </w:r>
    </w:p>
    <w:p w14:paraId="1EE981FB" w14:textId="036E1BB6"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7F2C3CA4" w14:textId="68109912"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r w:rsidR="00DF04A0" w:rsidRPr="00DF04A0">
        <w:rPr>
          <w:rFonts w:ascii="Arial" w:hAnsi="Arial" w:cs="Arial"/>
          <w:color w:val="000000"/>
          <w:highlight w:val="lightGray"/>
        </w:rPr>
        <w:t>Se exceptúa de su alcance al Órgano de Control Institucional, que se rige por las disposiciones del Sistema Nacional de Control.</w:t>
      </w:r>
    </w:p>
    <w:p w14:paraId="5F1F6433"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253E5D9"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77A59031"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2599AA41"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13253C3C"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16847B4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73791B9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08246BC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(29/04/2026), que aprueba la Estrategia Nacional de Inteligencia Artificial (ENIA) 2026-2030.</w:t>
      </w:r>
    </w:p>
    <w:p w14:paraId="7847E8A4"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79B4C79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1412 (13/09/2018), que aprueba la Ley de Gobierno Digital, y sus modificatorias.</w:t>
      </w:r>
    </w:p>
    <w:p w14:paraId="275B1C45"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3FBC34C8" w14:textId="0A16F5B4" w:rsidR="00A402D8" w:rsidRPr="00A402D8" w:rsidRDefault="00A402D8">
      <w:pPr>
        <w:pStyle w:val="Prrafodelista"/>
        <w:numPr>
          <w:ilvl w:val="1"/>
          <w:numId w:val="20"/>
        </w:numPr>
        <w:spacing w:line="276" w:lineRule="auto"/>
        <w:ind w:left="709" w:hanging="567"/>
        <w:rPr>
          <w:b w:val="0"/>
          <w:bCs w:val="0"/>
          <w:color w:val="000000"/>
          <w:highlight w:val="green"/>
        </w:rPr>
      </w:pPr>
      <w:r w:rsidRPr="00A402D8">
        <w:rPr>
          <w:b w:val="0"/>
          <w:bCs w:val="0"/>
          <w:color w:val="000000"/>
          <w:highlight w:val="green"/>
        </w:rPr>
        <w:lastRenderedPageBreak/>
        <w:t>Decreto Supremo N.° 157-2021-PCM (25/09/2021), que aprueba el Reglamento del Decreto de Urgencia N.° 006-2020; en particular su cuarta disposición complementaria final, conforme a la cual toda mención al Comité de Gobierno Digital se entiende referida al Comité de Gobierno y Transformación Digital.</w:t>
      </w:r>
    </w:p>
    <w:p w14:paraId="6D58402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029-2021-PCM (18/02/2021), que aprueba el Reglamento del Decreto Legislativo N.° 1412, y su modificatoria aprobada por Decreto Supremo N.° 098-2025-PCM.</w:t>
      </w:r>
    </w:p>
    <w:p w14:paraId="6DA1339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5C45F12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 en lo relativo a la confidencialidad de la información aduanera.</w:t>
      </w:r>
    </w:p>
    <w:p w14:paraId="0241BE1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003-2013-JUS (22/03/2013).</w:t>
      </w:r>
    </w:p>
    <w:p w14:paraId="2F262610"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658F060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27001 vigente, Sistemas de gestión de seguridad de la información — Requisitos.</w:t>
      </w:r>
    </w:p>
    <w:p w14:paraId="3AE67589"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3637D77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27005 vigente, Orientación sobre la gestión de los riesgos de seguridad de la información.</w:t>
      </w:r>
    </w:p>
    <w:p w14:paraId="1750FF9E"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196B03A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040-2023-EF (24/03/2023), que aprueba la Sección Primera del Reglamento de Organización y Funciones (ROF) de la SUNAT, y su modificatoria.</w:t>
      </w:r>
    </w:p>
    <w:p w14:paraId="3977DA6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000081-2023/SUNAT (28/04/2023), que aprueba la Sección Segunda del ROF de la SUNAT, y su modificatoria.</w:t>
      </w:r>
    </w:p>
    <w:p w14:paraId="4603BA14"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66BEAED4" w14:textId="5FA33831" w:rsidR="00A402D8" w:rsidRPr="00A402D8" w:rsidRDefault="00A402D8">
      <w:pPr>
        <w:pStyle w:val="Prrafodelista"/>
        <w:numPr>
          <w:ilvl w:val="1"/>
          <w:numId w:val="20"/>
        </w:numPr>
        <w:spacing w:line="276" w:lineRule="auto"/>
        <w:ind w:left="709" w:hanging="567"/>
        <w:rPr>
          <w:b w:val="0"/>
          <w:bCs w:val="0"/>
          <w:color w:val="000000"/>
          <w:highlight w:val="green"/>
        </w:rPr>
      </w:pPr>
      <w:r w:rsidRPr="00A402D8">
        <w:rPr>
          <w:b w:val="0"/>
          <w:bCs w:val="0"/>
          <w:color w:val="000000"/>
          <w:highlight w:val="green"/>
        </w:rPr>
        <w:t>Resolución Ministerial N.° 119-2018-PCM (10/05/2018), que dispone la creación de un Comité de Gobierno Digital en cada entidad de la Administración Pública y establece sus funciones, modificada por la Resolución Ministerial N.° 087-2019-PCM (22/03/2019).</w:t>
      </w:r>
    </w:p>
    <w:p w14:paraId="18065E5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000125-2024/SUNAT, que designa al Oficial de Gobierno de Datos de la SUNAT.</w:t>
      </w:r>
    </w:p>
    <w:p w14:paraId="475F127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000114-2025/SUNAT (08/04/2025), que designa al Oficial de Seguridad y Confianza Digital de la SUNAT.</w:t>
      </w:r>
    </w:p>
    <w:p w14:paraId="255442AA"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de Superintendencia Nacional Adjunta de Administración y Finanzas N.° 000197-2022-SUNAT/800000 (27/10/2022), que designa al Oficial de Datos Personales de la SUNAT.</w:t>
      </w:r>
    </w:p>
    <w:p w14:paraId="741A25AD" w14:textId="56B163B9" w:rsidR="00524301" w:rsidRPr="00524301" w:rsidRDefault="00524301" w:rsidP="00524301">
      <w:pPr>
        <w:pStyle w:val="Prrafodelista"/>
        <w:numPr>
          <w:ilvl w:val="1"/>
          <w:numId w:val="20"/>
        </w:numPr>
        <w:spacing w:line="276" w:lineRule="auto"/>
        <w:ind w:hanging="578"/>
        <w:rPr>
          <w:b w:val="0"/>
          <w:bCs w:val="0"/>
          <w:color w:val="000000"/>
          <w:highlight w:val="green"/>
        </w:rPr>
      </w:pPr>
      <w:r w:rsidRPr="00524301">
        <w:rPr>
          <w:b w:val="0"/>
          <w:bCs w:val="0"/>
          <w:color w:val="000000"/>
          <w:highlight w:val="green"/>
        </w:rPr>
        <w:t>Resolución de Superintendencia N.° 000144-2026/SUNAT (30/07/2026), que aprueba la Política de uso seguro, responsable y ético de los sistemas basados en inteligencia artificial en la Superintendencia Nacional de Aduanas y de Administración Tributaria</w:t>
      </w:r>
    </w:p>
    <w:p w14:paraId="64BA9802" w14:textId="624B0C0C" w:rsidR="0080359D" w:rsidRPr="00524301" w:rsidRDefault="0080359D" w:rsidP="00524301">
      <w:pPr>
        <w:pStyle w:val="Prrafodelista"/>
        <w:numPr>
          <w:ilvl w:val="1"/>
          <w:numId w:val="20"/>
        </w:numPr>
        <w:spacing w:line="276" w:lineRule="auto"/>
        <w:ind w:left="709" w:hanging="567"/>
        <w:rPr>
          <w:b w:val="0"/>
          <w:bCs w:val="0"/>
          <w:color w:val="000000"/>
          <w:highlight w:val="yellow"/>
        </w:rPr>
      </w:pPr>
      <w:r w:rsidRPr="00524301">
        <w:rPr>
          <w:b w:val="0"/>
          <w:bCs w:val="0"/>
          <w:color w:val="000000"/>
          <w:highlight w:val="yellow"/>
        </w:rPr>
        <w:lastRenderedPageBreak/>
        <w:t>Resolución de Oficina N.° 001-2024-SUNAT/1V0000, que aprueba la Metodología para la formulación, aprobación y control de los Documentos Normativos Institucionales (METDONI) Versión 1.4.</w:t>
      </w:r>
    </w:p>
    <w:p w14:paraId="4208E65D" w14:textId="34BB98F2" w:rsidR="00BA798A" w:rsidRPr="00BA798A" w:rsidRDefault="00BA798A">
      <w:pPr>
        <w:pStyle w:val="Prrafodelista"/>
        <w:numPr>
          <w:ilvl w:val="1"/>
          <w:numId w:val="20"/>
        </w:numPr>
        <w:spacing w:line="276" w:lineRule="auto"/>
        <w:ind w:left="709" w:hanging="567"/>
        <w:rPr>
          <w:b w:val="0"/>
          <w:bCs w:val="0"/>
          <w:color w:val="000000"/>
          <w:highlight w:val="lightGray"/>
        </w:rPr>
      </w:pPr>
      <w:r w:rsidRPr="00BA798A">
        <w:rPr>
          <w:b w:val="0"/>
          <w:bCs w:val="0"/>
          <w:color w:val="000000"/>
          <w:highlight w:val="lightGray"/>
        </w:rPr>
        <w:t>Resolución de Oficina N.° 000002-2023-SUNAT/1V0000, que aprueba la Metodología para la Gestión por Procesos (METGEP) Versión 5.</w:t>
      </w:r>
    </w:p>
    <w:p w14:paraId="656682E7" w14:textId="77777777" w:rsidR="00863A18" w:rsidRPr="00923C59" w:rsidRDefault="0033689D" w:rsidP="00B23382">
      <w:pPr>
        <w:spacing w:line="276" w:lineRule="auto"/>
        <w:rPr>
          <w:rFonts w:ascii="Arial" w:hAnsi="Arial" w:cs="Arial"/>
        </w:rPr>
      </w:pPr>
      <w:r>
        <w:rPr>
          <w:rFonts w:ascii="Arial" w:hAnsi="Arial" w:cs="Arial"/>
        </w:rPr>
        <w:br w:type="page"/>
      </w:r>
    </w:p>
    <w:p w14:paraId="28B8D3A0"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559B76B1"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8254EC6" w14:textId="77777777" w:rsidR="0033689D" w:rsidRPr="00923C59" w:rsidRDefault="0033689D">
      <w:pPr>
        <w:pStyle w:val="Prrafodelista"/>
        <w:numPr>
          <w:ilvl w:val="0"/>
          <w:numId w:val="8"/>
        </w:numPr>
        <w:spacing w:line="276" w:lineRule="auto"/>
        <w:rPr>
          <w:b w:val="0"/>
          <w:bCs w:val="0"/>
          <w:vanish/>
          <w:color w:val="000000"/>
        </w:rPr>
      </w:pPr>
    </w:p>
    <w:p w14:paraId="5A4BE00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2BDEBED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Conjunto de etapas secuenciales e iterativas desde la ideación hasta el retiro de un SBIA, incluyendo evaluación de viabilidad, diseño, desarrollo o adquisición, pruebas, despliegue, operación, monitoreo y desactivación. [ISO/IEC 22989:2022, sección 3.2.1; NTP-ISO/IEC 42001:2025, cláusula 6.1]</w:t>
      </w:r>
    </w:p>
    <w:p w14:paraId="1B4D1F52"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colegiado de apoyo al CGTD encargado de preparar las evaluaciones, informes y propuestas en materia de gobierno de IA, coordinado por un Coordinador designado por el CGTD.</w:t>
      </w:r>
    </w:p>
    <w:p w14:paraId="78B74A01" w14:textId="48FCD427" w:rsidR="0033689D" w:rsidRDefault="0033689D">
      <w:pPr>
        <w:pStyle w:val="Prrafodelista"/>
        <w:numPr>
          <w:ilvl w:val="1"/>
          <w:numId w:val="8"/>
        </w:numPr>
        <w:spacing w:after="0" w:line="276" w:lineRule="auto"/>
        <w:ind w:left="709" w:hanging="709"/>
        <w:rPr>
          <w:b w:val="0"/>
          <w:bCs w:val="0"/>
          <w:color w:val="000000"/>
          <w:highlight w:val="green"/>
        </w:rPr>
      </w:pPr>
      <w:r w:rsidRPr="00171767">
        <w:rPr>
          <w:color w:val="000000"/>
          <w:highlight w:val="green"/>
        </w:rPr>
        <w:t>Controles de contención (Guardrails):</w:t>
      </w:r>
      <w:r w:rsidRPr="00171767">
        <w:rPr>
          <w:b w:val="0"/>
          <w:bCs w:val="0"/>
          <w:color w:val="000000"/>
          <w:highlight w:val="green"/>
        </w:rPr>
        <w:t xml:space="preserve"> </w:t>
      </w:r>
      <w:r w:rsidR="00171767" w:rsidRPr="00171767">
        <w:rPr>
          <w:b w:val="0"/>
          <w:bCs w:val="0"/>
          <w:color w:val="000000"/>
          <w:highlight w:val="green"/>
        </w:rPr>
        <w:t xml:space="preserve">Conjunto de controles, reglas y mecanismos técnicos que limitan, filtran o validan las entradas y salidas de un SBIA para prevenir, detectar y restringir comportamientos no autorizados o inseguros. Comprenden, entre otros, la validación de entradas, el filtrado de salidas, la protección frente a ataques adversarios y la prevención de la divulgación no autorizada de información. </w:t>
      </w:r>
      <w:r w:rsidRPr="00171767">
        <w:rPr>
          <w:b w:val="0"/>
          <w:bCs w:val="0"/>
          <w:color w:val="000000"/>
          <w:highlight w:val="green"/>
        </w:rPr>
        <w:t>[NIST AI 600-1 (2024), sección 2.6; OWASP (2025), Top 10 for LLM Applications]</w:t>
      </w:r>
    </w:p>
    <w:p w14:paraId="73C50D66" w14:textId="3F2A661D" w:rsidR="0045319E" w:rsidRPr="00171767" w:rsidRDefault="0045319E">
      <w:pPr>
        <w:pStyle w:val="Prrafodelista"/>
        <w:numPr>
          <w:ilvl w:val="1"/>
          <w:numId w:val="8"/>
        </w:numPr>
        <w:spacing w:after="0" w:line="276" w:lineRule="auto"/>
        <w:ind w:left="709" w:hanging="709"/>
        <w:rPr>
          <w:b w:val="0"/>
          <w:bCs w:val="0"/>
          <w:color w:val="000000"/>
          <w:highlight w:val="green"/>
        </w:rPr>
      </w:pPr>
      <w:r w:rsidRPr="0045319E">
        <w:rPr>
          <w:color w:val="000000"/>
          <w:highlight w:val="green"/>
        </w:rPr>
        <w:t>Custodio técnico:</w:t>
      </w:r>
      <w:r w:rsidRPr="0045319E">
        <w:rPr>
          <w:b w:val="0"/>
          <w:bCs w:val="0"/>
          <w:color w:val="000000"/>
          <w:highlight w:val="green"/>
        </w:rPr>
        <w:t xml:space="preserve"> Unidad de organización de la INSI responsable del diseño técnico, la construcción o adquisición, el despliegue y la operación de un SBIA, así como de la implementación de los controles que se derivan de su clasificación de riesgo y de la generación de la documentación técnica exigida por la presente directiva. Se distingue del propietario del caso de uso, que asume la responsabilidad funcional. Se identifica en la Ficha de Registro de SBIA (Anexo N.° 1). [NTP-ISO/IEC 42001:2025, cláusula 5.3]</w:t>
      </w:r>
    </w:p>
    <w:p w14:paraId="2A9EF19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EA5FC0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30C3574A"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Evaluación de Impacto Algorítmico (EIA): </w:t>
      </w:r>
      <w:r>
        <w:rPr>
          <w:b w:val="0"/>
          <w:bCs w:val="0"/>
          <w:color w:val="000000"/>
          <w:highlight w:val="yellow"/>
        </w:rPr>
        <w:t>Proceso sistemático y documentado para identificar, analizar y evaluar los riesgos y efectos potenciales que un SBIA genera sobre los derechos de los administrados, previo a su desarrollo o implementación. [D.S. N.° 115-2025-PCM, Art. 30; NTP-ISO/IEC 42001:2025, cláusula 6.1.2]</w:t>
      </w:r>
    </w:p>
    <w:p w14:paraId="50F8802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685A5DCB"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6DCD22F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lastRenderedPageBreak/>
        <w:t>Human-</w:t>
      </w:r>
      <w:proofErr w:type="spellStart"/>
      <w:r>
        <w:rPr>
          <w:color w:val="000000"/>
        </w:rPr>
        <w:t>in-the-loop</w:t>
      </w:r>
      <w:proofErr w:type="spellEnd"/>
      <w:r>
        <w:rPr>
          <w:color w:val="000000"/>
        </w:rPr>
        <w:t>:</w:t>
      </w:r>
      <w:r>
        <w:rPr>
          <w:b w:val="0"/>
          <w:bCs w:val="0"/>
          <w:color w:val="000000"/>
        </w:rPr>
        <w:t xml:space="preserve"> Modelo de supervisión donde un ser humano interviene activamente en cada decisión del SBIA antes de su ejecución. [D.S. N.° 115-2025-PCM, Art. 28.11; ISO/IEC 22989:2022, sección 3.4.3]</w:t>
      </w:r>
    </w:p>
    <w:p w14:paraId="71C33EF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Human-on-the-loop:</w:t>
      </w:r>
      <w:r>
        <w:rPr>
          <w:b w:val="0"/>
          <w:bCs w:val="0"/>
          <w:color w:val="000000"/>
        </w:rPr>
        <w:t xml:space="preserve"> Modelo de supervisión donde un ser humano monitorea las operaciones del SBIA y puede intervenir ante anomalías. [D.S. N.° 115-2025-PCM, Art. 28.11; ISO/IEC 22989:2022, sección 3.4.4]</w:t>
      </w:r>
    </w:p>
    <w:p w14:paraId="6A54410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operativos y desactivarlo. [D.S. N.° 115-2025-PCM, Art. 28.11; Comisión Europea (2019), ALTAI]</w:t>
      </w:r>
    </w:p>
    <w:p w14:paraId="3D50AB80"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5AD0192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7C62BE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MLOps:</w:t>
      </w:r>
      <w:r>
        <w:rPr>
          <w:b w:val="0"/>
          <w:bCs w:val="0"/>
          <w:color w:val="000000"/>
        </w:rPr>
        <w:t xml:space="preserve"> Conjunto de prácticas que combinan Machine Learning, DevOps e ingeniería de datos para estandarizar el ciclo de vida de modelos en producción. [Kreuzberger et al. (2023)]</w:t>
      </w:r>
    </w:p>
    <w:p w14:paraId="733B7DD8" w14:textId="41C0B315" w:rsidR="00594919" w:rsidRPr="00A15156" w:rsidRDefault="00000000">
      <w:pPr>
        <w:pStyle w:val="Prrafodelista"/>
        <w:numPr>
          <w:ilvl w:val="1"/>
          <w:numId w:val="8"/>
        </w:numPr>
        <w:spacing w:after="0" w:line="276" w:lineRule="auto"/>
        <w:ind w:left="709" w:hanging="709"/>
        <w:rPr>
          <w:b w:val="0"/>
          <w:bCs w:val="0"/>
          <w:color w:val="000000"/>
          <w:highlight w:val="green"/>
        </w:rPr>
      </w:pPr>
      <w:r w:rsidRPr="00A15156">
        <w:rPr>
          <w:color w:val="000000"/>
          <w:highlight w:val="green"/>
        </w:rPr>
        <w:t xml:space="preserve">Niveles de riesgo de un SBIA: </w:t>
      </w:r>
      <w:r w:rsidR="00FA4DEA" w:rsidRPr="00FA4DEA">
        <w:rPr>
          <w:b w:val="0"/>
          <w:bCs w:val="0"/>
          <w:color w:val="000000"/>
          <w:highlight w:val="green"/>
        </w:rPr>
        <w:t>Categorías en que se clasifica un SBIA según el riesgo que genera su uso, conforme al RLIA: uso indebido (prohibido, artículo 23), riesgo alto (admisible únicamente bajo el cumplimiento de determinadas condiciones y controles, conforme al literal b) del numeral 22.1 del artículo 22, y tipificado en el artículo 24) y riesgo aceptable (artículo 22.2), que comprende por excepción todo SBIA que no califique en los dos anteriores. [D.S. N.° 115-2025-PCM, artículos 22 a 24]</w:t>
      </w:r>
    </w:p>
    <w:p w14:paraId="4C57C1FA" w14:textId="54383BA3" w:rsidR="0033689D" w:rsidRPr="00171767" w:rsidRDefault="0033689D">
      <w:pPr>
        <w:pStyle w:val="Prrafodelista"/>
        <w:numPr>
          <w:ilvl w:val="1"/>
          <w:numId w:val="8"/>
        </w:numPr>
        <w:spacing w:after="0" w:line="276" w:lineRule="auto"/>
        <w:ind w:left="709" w:hanging="709"/>
        <w:rPr>
          <w:b w:val="0"/>
          <w:bCs w:val="0"/>
          <w:color w:val="000000"/>
          <w:highlight w:val="green"/>
        </w:rPr>
      </w:pPr>
      <w:r w:rsidRPr="00171767">
        <w:rPr>
          <w:color w:val="000000"/>
          <w:highlight w:val="green"/>
        </w:rPr>
        <w:t>Propietario de</w:t>
      </w:r>
      <w:r w:rsidR="00BA798A" w:rsidRPr="00171767">
        <w:rPr>
          <w:color w:val="000000"/>
          <w:highlight w:val="green"/>
        </w:rPr>
        <w:t>l</w:t>
      </w:r>
      <w:r w:rsidRPr="00171767">
        <w:rPr>
          <w:color w:val="000000"/>
          <w:highlight w:val="green"/>
        </w:rPr>
        <w:t xml:space="preserve"> caso de uso: </w:t>
      </w:r>
      <w:r w:rsidR="00BA798A" w:rsidRPr="00171767">
        <w:rPr>
          <w:b w:val="0"/>
          <w:bCs w:val="0"/>
          <w:color w:val="000000"/>
          <w:highlight w:val="green"/>
        </w:rPr>
        <w:t xml:space="preserve">Unidad de organización que, de acuerdo con sus competencias y funciones en el ROF, es el dueño del proceso en el que se identifica la necesidad a atender mediante un SBIA </w:t>
      </w:r>
      <w:r w:rsidR="00171767" w:rsidRPr="00171767">
        <w:rPr>
          <w:b w:val="0"/>
          <w:bCs w:val="0"/>
          <w:color w:val="000000"/>
          <w:highlight w:val="green"/>
        </w:rPr>
        <w:t>y que asume la responsabilidad funcional sobre sus resultados y sobre los riesgos derivados de su utilización durante todo su ciclo de vida.</w:t>
      </w:r>
      <w:r w:rsidR="00BA798A" w:rsidRPr="00171767">
        <w:rPr>
          <w:b w:val="0"/>
          <w:bCs w:val="0"/>
          <w:color w:val="000000"/>
          <w:highlight w:val="green"/>
        </w:rPr>
        <w:t xml:space="preserve"> </w:t>
      </w:r>
      <w:r w:rsidR="001F28C5" w:rsidRPr="001F28C5">
        <w:rPr>
          <w:b w:val="0"/>
          <w:bCs w:val="0"/>
          <w:color w:val="000000"/>
          <w:highlight w:val="green"/>
        </w:rPr>
        <w:t>Se distingue del custodio técnico, definido en el presente glosario</w:t>
      </w:r>
      <w:r w:rsidR="00BA798A" w:rsidRPr="00171767">
        <w:rPr>
          <w:b w:val="0"/>
          <w:bCs w:val="0"/>
          <w:color w:val="000000"/>
          <w:highlight w:val="green"/>
        </w:rPr>
        <w:t>. [METGEP, numeral 4.9; METDONI, numeral 4.6; NTP-ISO/IEC 42001:2025, cláusula 5.3]</w:t>
      </w:r>
    </w:p>
    <w:p w14:paraId="5DB96D0F" w14:textId="20565D95" w:rsidR="0033689D" w:rsidRPr="00171767" w:rsidRDefault="0033689D">
      <w:pPr>
        <w:pStyle w:val="Prrafodelista"/>
        <w:numPr>
          <w:ilvl w:val="1"/>
          <w:numId w:val="8"/>
        </w:numPr>
        <w:spacing w:after="0" w:line="276" w:lineRule="auto"/>
        <w:ind w:left="709" w:hanging="709"/>
        <w:rPr>
          <w:b w:val="0"/>
          <w:bCs w:val="0"/>
          <w:color w:val="000000"/>
          <w:highlight w:val="green"/>
        </w:rPr>
      </w:pPr>
      <w:r w:rsidRPr="00171767">
        <w:rPr>
          <w:color w:val="000000"/>
          <w:highlight w:val="green"/>
        </w:rPr>
        <w:t>Red Teaming:</w:t>
      </w:r>
      <w:r w:rsidRPr="00171767">
        <w:rPr>
          <w:b w:val="0"/>
          <w:bCs w:val="0"/>
          <w:color w:val="000000"/>
          <w:highlight w:val="green"/>
        </w:rPr>
        <w:t xml:space="preserve"> </w:t>
      </w:r>
      <w:r w:rsidR="00171767" w:rsidRPr="00171767">
        <w:rPr>
          <w:b w:val="0"/>
          <w:bCs w:val="0"/>
          <w:color w:val="000000"/>
          <w:highlight w:val="green"/>
        </w:rPr>
        <w:t>Práctica de seguridad ofensiva que simula ataques adversarios contra un SBIA para identificar vulnerabilidades y comportamientos no deseados, con anterioridad a su despliegue y durante su operación.</w:t>
      </w:r>
      <w:r w:rsidR="00171767" w:rsidRPr="00171767">
        <w:rPr>
          <w:b w:val="0"/>
          <w:bCs w:val="0"/>
          <w:color w:val="000000"/>
          <w:highlight w:val="green"/>
        </w:rPr>
        <w:t xml:space="preserve"> </w:t>
      </w:r>
      <w:r w:rsidRPr="00171767">
        <w:rPr>
          <w:b w:val="0"/>
          <w:bCs w:val="0"/>
          <w:color w:val="000000"/>
          <w:highlight w:val="green"/>
        </w:rPr>
        <w:t>[NIST AI 600-1 (2024), sección 2.7; OWASP (2025)]</w:t>
      </w:r>
    </w:p>
    <w:p w14:paraId="2D99BF1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Reserva tributaria:</w:t>
      </w:r>
      <w:r>
        <w:rPr>
          <w:b w:val="0"/>
          <w:bCs w:val="0"/>
          <w:color w:val="000000"/>
        </w:rPr>
        <w:t xml:space="preserve"> Carácter reservado de la información vinculada a los contribuyentes, conforme al artículo 85 del TUO del Código Tributario. [D.S. N.° 133-2013-EF, Art. 85]</w:t>
      </w:r>
    </w:p>
    <w:p w14:paraId="7E451C7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Riesgo de IA:</w:t>
      </w:r>
      <w:r>
        <w:rPr>
          <w:b w:val="0"/>
          <w:bCs w:val="0"/>
          <w:color w:val="000000"/>
        </w:rPr>
        <w:t xml:space="preserve"> Combinación de la probabilidad de ocurrencia de daños derivados del uso de un SBIA y la severidad de esos daños. [ISO/IEC 23894:2023, sección 3.1]</w:t>
      </w:r>
    </w:p>
    <w:p w14:paraId="3C60E648"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w:t>
      </w:r>
      <w:r>
        <w:rPr>
          <w:b w:val="0"/>
          <w:bCs w:val="0"/>
          <w:color w:val="000000"/>
        </w:rPr>
        <w:lastRenderedPageBreak/>
        <w:t>recibe, cómo generar resultados que influyan en entornos reales o virtuales. [Ley N.° 31814, Art. 2; D.S. N.° 115-2025-PCM, Art. 6(j)]</w:t>
      </w:r>
    </w:p>
    <w:p w14:paraId="6C6F19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en los resultados de un SBIA que produce resultados injustos o discriminatorios hacia determinados grupos de personas. [ISO/IEC 22989:2022, sección 3.1.5; NIST SP 1270 (2022)]</w:t>
      </w:r>
    </w:p>
    <w:p w14:paraId="7D3A7F35"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010F4621" w14:textId="09AE0F8D" w:rsidR="00E151B6" w:rsidRPr="00E151B6" w:rsidRDefault="00E151B6">
      <w:pPr>
        <w:pStyle w:val="Prrafodelista"/>
        <w:numPr>
          <w:ilvl w:val="1"/>
          <w:numId w:val="8"/>
        </w:numPr>
        <w:spacing w:after="0" w:line="276" w:lineRule="auto"/>
        <w:ind w:left="709" w:hanging="709"/>
        <w:rPr>
          <w:b w:val="0"/>
          <w:bCs w:val="0"/>
          <w:color w:val="000000"/>
          <w:highlight w:val="green"/>
        </w:rPr>
      </w:pPr>
      <w:r w:rsidRPr="00E151B6">
        <w:rPr>
          <w:color w:val="000000"/>
          <w:highlight w:val="green"/>
        </w:rPr>
        <w:t>Transparencia algorítmica:</w:t>
      </w:r>
      <w:r w:rsidRPr="00E151B6">
        <w:rPr>
          <w:b w:val="0"/>
          <w:bCs w:val="0"/>
          <w:color w:val="000000"/>
          <w:highlight w:val="green"/>
        </w:rPr>
        <w:t xml:space="preserve"> Puesta a disposición del usuario, en lenguaje claro y con anterioridad a su interacción, de la finalidad del SBIA, de sus funcionalidades principales, del tipo de decisiones en que interviene y de sus limitaciones conocidas. No comprende la entrega del modelo, de su código fuente, de sus parámetros, de los conjuntos de datos empleados en su entrenamiento ni de las reglas de detección de riesgo, cuya divulgación se sujeta a los límites derivados del artículo 85 del TUO del Código Tributario, de la normativa sobre confidencialidad de la información aduanera y de la normativa de protección de datos personales. [D.S. N.° 115-2025-PCM, artículo 25]</w:t>
      </w:r>
    </w:p>
    <w:p w14:paraId="482F0CAA"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t>DISPOSICIONES GENERALES</w:t>
      </w:r>
      <w:bookmarkEnd w:id="5"/>
    </w:p>
    <w:p w14:paraId="5005ABB3" w14:textId="77777777" w:rsidR="00A46D47" w:rsidRPr="00923C59" w:rsidRDefault="00A46D47" w:rsidP="00A46D47">
      <w:pPr>
        <w:pStyle w:val="SubtituloDONI"/>
        <w:spacing w:line="276" w:lineRule="auto"/>
        <w:ind w:left="851"/>
      </w:pPr>
      <w:r>
        <w:t>5.1</w:t>
      </w:r>
      <w:r>
        <w:tab/>
        <w:t>De los principios para el Gobierno de IA</w:t>
      </w:r>
    </w:p>
    <w:p w14:paraId="0498D8FC" w14:textId="7777777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t>5.1.1</w:t>
      </w:r>
      <w:r>
        <w:rPr>
          <w:rFonts w:ascii="Arial" w:eastAsia="Arial" w:hAnsi="Arial" w:cs="Arial"/>
          <w:color w:val="000000"/>
        </w:rPr>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de la </w:t>
      </w:r>
      <w:r>
        <w:rPr>
          <w:rFonts w:ascii="Arial" w:hAnsi="Arial" w:cs="Arial"/>
          <w:highlight w:val="yellow"/>
        </w:rPr>
        <w:t>Política de Uso Seguro, Responsable y Ético de los SBIA</w:t>
      </w:r>
      <w:r>
        <w:rPr>
          <w:rFonts w:ascii="Arial" w:eastAsia="Arial" w:hAnsi="Arial" w:cs="Arial"/>
          <w:color w:val="000000"/>
        </w:rPr>
        <w:t>, concordantes con el artículo 7 del RLIA y la ENIA.</w:t>
      </w:r>
    </w:p>
    <w:p w14:paraId="4380E229" w14:textId="77777777" w:rsidR="00025734" w:rsidRPr="00025734" w:rsidRDefault="00A46D47" w:rsidP="00A46D47">
      <w:pPr>
        <w:spacing w:after="60" w:line="276" w:lineRule="auto"/>
        <w:ind w:left="1276" w:hanging="720"/>
        <w:jc w:val="both"/>
        <w:rPr>
          <w:rFonts w:ascii="Arial" w:hAnsi="Arial" w:cs="Arial"/>
          <w:color w:val="000000"/>
          <w:highlight w:val="lightGray"/>
        </w:rPr>
      </w:pPr>
      <w:r w:rsidRPr="00025734">
        <w:rPr>
          <w:rFonts w:ascii="Arial" w:hAnsi="Arial" w:cs="Arial"/>
          <w:color w:val="000000"/>
          <w:highlight w:val="lightGray"/>
        </w:rPr>
        <w:t>5.1.2</w:t>
      </w:r>
      <w:r w:rsidRPr="00025734">
        <w:rPr>
          <w:rFonts w:ascii="Arial" w:hAnsi="Arial" w:cs="Arial"/>
          <w:color w:val="000000"/>
          <w:highlight w:val="lightGray"/>
        </w:rPr>
        <w:tab/>
      </w:r>
      <w:r w:rsidR="00025734" w:rsidRPr="00025734">
        <w:rPr>
          <w:rFonts w:ascii="Arial" w:hAnsi="Arial" w:cs="Arial"/>
          <w:color w:val="000000"/>
          <w:highlight w:val="lightGray"/>
        </w:rPr>
        <w:t xml:space="preserve">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 </w:t>
      </w:r>
    </w:p>
    <w:p w14:paraId="1313E70C" w14:textId="38C0476D"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r>
      <w:r>
        <w:rPr>
          <w:rFonts w:ascii="Arial" w:eastAsia="Arial" w:hAnsi="Arial" w:cs="Arial"/>
          <w:color w:val="000000"/>
          <w:highlight w:val="yellow"/>
        </w:rPr>
        <w:tab/>
        <w:t>La reserva tributaria constituye criterio determinante en la evaluación de riesgo de todo SBIA que procese información de contribuyentes.</w:t>
      </w:r>
    </w:p>
    <w:p w14:paraId="7D937A6B" w14:textId="77777777" w:rsidR="00A46D47" w:rsidRPr="00A46D47" w:rsidRDefault="00A46D47" w:rsidP="00A46D47">
      <w:pPr>
        <w:pStyle w:val="Prrafodelista"/>
        <w:spacing w:before="0" w:after="60" w:line="276" w:lineRule="auto"/>
        <w:ind w:left="1276"/>
        <w:rPr>
          <w:b w:val="0"/>
          <w:bCs w:val="0"/>
        </w:rPr>
      </w:pPr>
      <w:r>
        <w:rPr>
          <w:b w:val="0"/>
          <w:bCs w:val="0"/>
          <w:color w:val="000000"/>
          <w:highlight w:val="cyan"/>
        </w:rPr>
        <w:t>5.1.4</w:t>
      </w:r>
      <w:r>
        <w:rPr>
          <w:b w:val="0"/>
          <w:bCs w:val="0"/>
          <w:color w:val="000000"/>
          <w:highlight w:val="cyan"/>
        </w:rPr>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1DCC4A84"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r>
      <w:r>
        <w:rPr>
          <w:rFonts w:ascii="Arial" w:eastAsia="Arial" w:hAnsi="Arial" w:cs="Arial"/>
          <w:color w:val="000000"/>
          <w:highlight w:val="yellow"/>
        </w:rPr>
        <w:tab/>
        <w:t>El Gobierno de IA aplica el principio de proporcionalidad: las exigencias de evaluación, supervisión y control se gradúan según el nivel de riesgo del SBIA. La proporcionalidad no exime del cumplimiento de los controles y obligaciones que el Reglamento y la presente directiva establecen con carácter obligatorio para cada categoría de riesgo.</w:t>
      </w:r>
    </w:p>
    <w:p w14:paraId="4153764E" w14:textId="77777777" w:rsidR="00863A18" w:rsidRPr="00923C59" w:rsidRDefault="00863A18" w:rsidP="00B23382">
      <w:pPr>
        <w:pStyle w:val="SubtituloDONI"/>
        <w:spacing w:line="276" w:lineRule="auto"/>
        <w:ind w:left="851"/>
      </w:pPr>
      <w:r>
        <w:t>5.2</w:t>
      </w:r>
      <w:r>
        <w:tab/>
        <w:t>De la función de Gobierno de Inteligencia Artificial</w:t>
      </w:r>
    </w:p>
    <w:p w14:paraId="39EE6BB3" w14:textId="777777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r>
      <w:r>
        <w:rPr>
          <w:rFonts w:ascii="Arial" w:eastAsia="Arial" w:hAnsi="Arial" w:cs="Arial"/>
          <w:color w:val="000000"/>
        </w:rPr>
        <w:tab/>
        <w:t xml:space="preserve">El Comité de Gobierno y Transformación Digital (CGTD) ejerce la función de gobierno de inteligencia artificial en la SUNAT, conforme al numeral 9.3 del </w:t>
      </w:r>
      <w:r>
        <w:rPr>
          <w:rFonts w:ascii="Arial" w:eastAsia="Arial" w:hAnsi="Arial" w:cs="Arial"/>
          <w:color w:val="000000"/>
        </w:rPr>
        <w:lastRenderedPageBreak/>
        <w:t>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sistemas basados en IA estratégicos para la entidad.</w:t>
      </w:r>
    </w:p>
    <w:p w14:paraId="0AA671F2" w14:textId="77777777" w:rsidR="00E34945" w:rsidRDefault="00E34945" w:rsidP="00E34945">
      <w:pPr>
        <w:pStyle w:val="SubtituloDONI"/>
        <w:spacing w:line="276" w:lineRule="auto"/>
        <w:ind w:left="851"/>
      </w:pPr>
      <w:r>
        <w:t>5.3</w:t>
      </w:r>
      <w:r>
        <w:tab/>
        <w:t>De la Comisión de Gobierno de IA</w:t>
      </w:r>
    </w:p>
    <w:p w14:paraId="2E6E0212"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5.3.1</w:t>
      </w:r>
      <w:r>
        <w:rPr>
          <w:rFonts w:ascii="Arial" w:eastAsia="Arial" w:hAnsi="Arial" w:cs="Arial"/>
          <w:color w:val="000000"/>
        </w:rPr>
        <w:tab/>
        <w:t>Para el ejercicio efectivo de la función de gobierno de IA, el CGTD cuenta con la Comisión de Gobierno de IA, instancia de apoyo encargada de preparar las evaluaciones, los informes y las propuestas que el CGTD requiera para la toma de decisiones en materia de IA. La Comisión de Gobierno de IA es coordinada por un Coordinador designado por el CGTD.</w:t>
      </w:r>
    </w:p>
    <w:p w14:paraId="262208F8" w14:textId="12FD3CC2"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5.3.2</w:t>
      </w:r>
      <w:r>
        <w:rPr>
          <w:rFonts w:ascii="Arial" w:eastAsia="Arial" w:hAnsi="Arial" w:cs="Arial"/>
          <w:color w:val="000000"/>
        </w:rPr>
        <w:tab/>
      </w:r>
      <w:r w:rsidR="008E63B0">
        <w:rPr>
          <w:rFonts w:ascii="Arial" w:eastAsia="Arial" w:hAnsi="Arial" w:cs="Arial"/>
          <w:color w:val="000000"/>
        </w:rPr>
        <w:t>Las</w:t>
      </w:r>
      <w:r>
        <w:rPr>
          <w:rFonts w:ascii="Arial" w:eastAsia="Arial" w:hAnsi="Arial" w:cs="Arial"/>
          <w:color w:val="000000"/>
        </w:rPr>
        <w:t xml:space="preserve"> funciones de la Comisión de Gobierno de IA, en apoyo al CGTD</w:t>
      </w:r>
      <w:r w:rsidR="008E63B0">
        <w:rPr>
          <w:rFonts w:ascii="Arial" w:eastAsia="Arial" w:hAnsi="Arial" w:cs="Arial"/>
          <w:color w:val="000000"/>
        </w:rPr>
        <w:t xml:space="preserve"> se definen en el numeral 5.4.</w:t>
      </w:r>
    </w:p>
    <w:p w14:paraId="6F4FB7E8" w14:textId="77777777" w:rsidR="00863A18" w:rsidRPr="00923C59" w:rsidRDefault="00863A18" w:rsidP="00B23382">
      <w:pPr>
        <w:pStyle w:val="SubtituloDONI"/>
        <w:spacing w:line="276" w:lineRule="auto"/>
        <w:ind w:left="851"/>
      </w:pPr>
      <w:r>
        <w:t>5.4</w:t>
      </w:r>
      <w:r>
        <w:tab/>
        <w:t>De los roles y responsabilidades</w:t>
      </w:r>
    </w:p>
    <w:p w14:paraId="604F42A1"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57003083"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BBC045C"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3C5EC4C0"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51EB6E"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AC1ACA3"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3089C3E"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46D68E4A"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EC581"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DBB1D7"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4265FD"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7E4F6F6D"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4872A49B"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310924D3"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 y aprueba las inversiones asociadas.</w:t>
            </w:r>
          </w:p>
        </w:tc>
      </w:tr>
      <w:tr w:rsidR="0081311B" w:rsidRPr="00923C59" w14:paraId="6406FAD0"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1D8C58" w14:textId="77777777" w:rsidR="0081311B" w:rsidRPr="00923C59" w:rsidRDefault="0081311B" w:rsidP="00B23382">
            <w:pPr>
              <w:spacing w:before="20" w:after="20" w:line="276" w:lineRule="auto"/>
              <w:rPr>
                <w:rFonts w:ascii="Arial" w:hAnsi="Arial" w:cs="Arial"/>
              </w:rPr>
            </w:pPr>
            <w:r>
              <w:rPr>
                <w:rFonts w:ascii="Arial" w:eastAsia="Arial" w:hAnsi="Arial" w:cs="Arial"/>
                <w:b/>
                <w:bCs/>
              </w:rPr>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9DCF2D"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21EEED"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 xml:space="preserve">Lidera, dirige, evalúa y supervisa los proyectos de SBIA estratégicos. </w:t>
            </w:r>
          </w:p>
          <w:p w14:paraId="03F7DD40" w14:textId="77777777" w:rsidR="002840F0" w:rsidRPr="002840F0" w:rsidRDefault="002840F0" w:rsidP="0047575A">
            <w:pPr>
              <w:pStyle w:val="Prrafodelista"/>
              <w:numPr>
                <w:ilvl w:val="0"/>
                <w:numId w:val="13"/>
              </w:numPr>
              <w:spacing w:before="20" w:after="20" w:line="276" w:lineRule="auto"/>
              <w:ind w:left="299" w:hanging="283"/>
              <w:jc w:val="left"/>
              <w:rPr>
                <w:b w:val="0"/>
                <w:bCs w:val="0"/>
                <w:highlight w:val="green"/>
              </w:rPr>
            </w:pPr>
            <w:r w:rsidRPr="002840F0">
              <w:rPr>
                <w:b w:val="0"/>
                <w:bCs w:val="0"/>
                <w:highlight w:val="green"/>
              </w:rPr>
              <w:t xml:space="preserve">Aprueba la clasificación de riesgo de todos los SBIA conforme al numeral 6.2.2: de manera individual en los de riesgo alto y en los </w:t>
            </w:r>
            <w:r w:rsidRPr="002840F0">
              <w:rPr>
                <w:b w:val="0"/>
                <w:bCs w:val="0"/>
                <w:highlight w:val="green"/>
              </w:rPr>
              <w:lastRenderedPageBreak/>
              <w:t>estratégicos para la entidad, y de manera agregada en los de riesgo aceptable. Aprueba los casos de uso y la estrategia de IA.</w:t>
            </w:r>
          </w:p>
          <w:p w14:paraId="4662D368" w14:textId="58670A02"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Aprueba la EIA de SBIA de riesgo alto.</w:t>
            </w:r>
          </w:p>
          <w:p w14:paraId="0568AAC5" w14:textId="77777777" w:rsidR="00DF3D57" w:rsidRPr="00DF3D57" w:rsidRDefault="00DE4308" w:rsidP="00DE4308">
            <w:pPr>
              <w:pStyle w:val="Prrafodelista"/>
              <w:numPr>
                <w:ilvl w:val="0"/>
                <w:numId w:val="13"/>
              </w:numPr>
              <w:spacing w:before="20" w:after="20" w:line="276" w:lineRule="auto"/>
              <w:ind w:left="269" w:hanging="269"/>
              <w:jc w:val="left"/>
            </w:pPr>
            <w:r w:rsidRPr="00DE4308">
              <w:rPr>
                <w:b w:val="0"/>
                <w:bCs w:val="0"/>
                <w:highlight w:val="green"/>
              </w:rPr>
              <w:t>Resuelve sobre la procedencia del uso del componente de IA cuando la Comisión de Gobierno</w:t>
            </w:r>
            <w:r w:rsidRPr="00DE4308">
              <w:rPr>
                <w:b w:val="0"/>
                <w:bCs w:val="0"/>
                <w:highlight w:val="green"/>
              </w:rPr>
              <w:t xml:space="preserve"> </w:t>
            </w:r>
            <w:r w:rsidRPr="00DE4308">
              <w:rPr>
                <w:b w:val="0"/>
                <w:bCs w:val="0"/>
                <w:highlight w:val="green"/>
              </w:rPr>
              <w:t>de IA emite pronunciamiento no favorable, conforme al numeral 6.1.4.</w:t>
            </w:r>
          </w:p>
          <w:p w14:paraId="555CCBE5" w14:textId="2E621FBF" w:rsidR="0081311B" w:rsidRPr="00923C59" w:rsidRDefault="0081311B" w:rsidP="00DE4308">
            <w:pPr>
              <w:pStyle w:val="Prrafodelista"/>
              <w:numPr>
                <w:ilvl w:val="0"/>
                <w:numId w:val="13"/>
              </w:numPr>
              <w:spacing w:before="20" w:after="20" w:line="276" w:lineRule="auto"/>
              <w:ind w:left="269" w:hanging="269"/>
              <w:jc w:val="left"/>
            </w:pPr>
            <w:r w:rsidRPr="00DE4308">
              <w:rPr>
                <w:b w:val="0"/>
                <w:bCs w:val="0"/>
                <w:highlight w:val="green"/>
              </w:rPr>
              <w:t>Revisa los informes trimestrales de la Comisión de Gobierno de IA.</w:t>
            </w:r>
          </w:p>
        </w:tc>
      </w:tr>
      <w:tr w:rsidR="008E63B0" w:rsidRPr="00923C59" w14:paraId="149F21FB"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B83B58" w14:textId="0A5E24AE" w:rsidR="008E63B0" w:rsidRDefault="008E63B0" w:rsidP="00B23382">
            <w:pPr>
              <w:spacing w:before="20" w:after="20" w:line="276" w:lineRule="auto"/>
              <w:rPr>
                <w:rFonts w:ascii="Arial" w:eastAsia="Arial" w:hAnsi="Arial" w:cs="Arial"/>
                <w:b/>
                <w:bCs/>
              </w:rPr>
            </w:pPr>
            <w:r>
              <w:rPr>
                <w:rFonts w:ascii="Arial" w:eastAsia="Arial" w:hAnsi="Arial" w:cs="Arial"/>
                <w:b/>
                <w:bCs/>
              </w:rPr>
              <w:lastRenderedPageBreak/>
              <w:t>Comisión de Gobierno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974FD" w14:textId="6304F804" w:rsidR="008E63B0" w:rsidRDefault="008E63B0" w:rsidP="00B23382">
            <w:pPr>
              <w:spacing w:before="20" w:after="20" w:line="276" w:lineRule="auto"/>
              <w:rPr>
                <w:rFonts w:ascii="Arial" w:eastAsia="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433AFC" w14:textId="75646ED0"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Preparar la propuesta de estrategia institucional de IA y sus</w:t>
            </w:r>
            <w:r w:rsidR="007614B5">
              <w:rPr>
                <w:b w:val="0"/>
                <w:bCs w:val="0"/>
              </w:rPr>
              <w:t xml:space="preserve"> </w:t>
            </w:r>
            <w:r w:rsidRPr="008E63B0">
              <w:rPr>
                <w:b w:val="0"/>
                <w:bCs w:val="0"/>
              </w:rPr>
              <w:t>actualizaciones, para aprobación del CGTD.</w:t>
            </w:r>
          </w:p>
          <w:p w14:paraId="77CFDB2E" w14:textId="77777777" w:rsidR="006F6A67" w:rsidRPr="006F6A67" w:rsidRDefault="006F6A67" w:rsidP="008E63B0">
            <w:pPr>
              <w:pStyle w:val="Prrafodelista"/>
              <w:numPr>
                <w:ilvl w:val="0"/>
                <w:numId w:val="13"/>
              </w:numPr>
              <w:spacing w:before="0" w:after="60" w:line="276" w:lineRule="auto"/>
              <w:ind w:left="273" w:hanging="273"/>
              <w:jc w:val="left"/>
              <w:rPr>
                <w:b w:val="0"/>
                <w:bCs w:val="0"/>
                <w:highlight w:val="green"/>
              </w:rPr>
            </w:pPr>
            <w:r w:rsidRPr="006F6A67">
              <w:rPr>
                <w:b w:val="0"/>
                <w:bCs w:val="0"/>
                <w:highlight w:val="green"/>
              </w:rPr>
              <w:t>Evaluar el componente de IA de los casos de uso propuestos por los órganos de línea, con el alcance previsto en el numeral 6.15.1, y elevar al CGTD su recomendación fundamentada. Cuando otra unidad de organización ya se ha pronunciado dentro de su competencia, la Comisión no vuelve a evaluar esa materia: toma su pronunciamiento y se pronuncia solo sobre el componente de IA.</w:t>
            </w:r>
          </w:p>
          <w:p w14:paraId="65B82E2E" w14:textId="77777777" w:rsidR="002840F0" w:rsidRPr="002840F0" w:rsidRDefault="002840F0" w:rsidP="00DE4308">
            <w:pPr>
              <w:pStyle w:val="Prrafodelista"/>
              <w:numPr>
                <w:ilvl w:val="0"/>
                <w:numId w:val="13"/>
              </w:numPr>
              <w:spacing w:before="0" w:after="60" w:line="276" w:lineRule="auto"/>
              <w:ind w:left="269" w:hanging="269"/>
              <w:jc w:val="left"/>
              <w:rPr>
                <w:b w:val="0"/>
                <w:bCs w:val="0"/>
                <w:highlight w:val="green"/>
              </w:rPr>
            </w:pPr>
            <w:r w:rsidRPr="002840F0">
              <w:rPr>
                <w:b w:val="0"/>
                <w:bCs w:val="0"/>
                <w:highlight w:val="green"/>
              </w:rPr>
              <w:t>Proponer la clasificación de riesgo de cada SBIA, previo al inicio del desarrollo o adquisición, y elevar al CGTD la relación de las propuestas de riesgo aceptable para su aprobación agregada; la aprobación corresponde conforme al numeral 6.2.2.</w:t>
            </w:r>
          </w:p>
          <w:p w14:paraId="7AA16B7C" w14:textId="01B3B1C9" w:rsidR="008E63B0" w:rsidRPr="008E63B0" w:rsidRDefault="008E63B0" w:rsidP="00DE4308">
            <w:pPr>
              <w:pStyle w:val="Prrafodelista"/>
              <w:numPr>
                <w:ilvl w:val="0"/>
                <w:numId w:val="13"/>
              </w:numPr>
              <w:spacing w:before="0" w:after="60" w:line="276" w:lineRule="auto"/>
              <w:ind w:left="269" w:hanging="269"/>
              <w:jc w:val="left"/>
              <w:rPr>
                <w:b w:val="0"/>
                <w:bCs w:val="0"/>
              </w:rPr>
            </w:pPr>
            <w:r w:rsidRPr="008E63B0">
              <w:rPr>
                <w:b w:val="0"/>
                <w:bCs w:val="0"/>
                <w:highlight w:val="cyan"/>
              </w:rPr>
              <w:t>Asegurar el cumplimiento del Gobierno de IA en la SUNAT.</w:t>
            </w:r>
          </w:p>
          <w:p w14:paraId="1DA5624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highlight w:val="cyan"/>
              </w:rPr>
              <w:lastRenderedPageBreak/>
              <w:t>Coordinar la elaboración de las evaluaciones de impacto algorítmico y elevar sus conclusiones al CGTD.</w:t>
            </w:r>
          </w:p>
          <w:p w14:paraId="6CB7AC08"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Administrar el Inventario Institucional de SBIA.</w:t>
            </w:r>
          </w:p>
          <w:p w14:paraId="05CF9C7B"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sidRPr="00AC727E">
              <w:rPr>
                <w:b w:val="0"/>
                <w:bCs w:val="0"/>
                <w:highlight w:val="green"/>
              </w:rPr>
              <w:t>Supervisar el cumplimiento de los hitos de aprobación del ciclo de vida de los SBIA y consolidar los informes de monitoreo, verificación técnica de seguridad e incidentes para conocimiento del CGTD.</w:t>
            </w:r>
          </w:p>
          <w:p w14:paraId="54B5BA3A" w14:textId="236F745B"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Proponer lineamientos técnicos complementarios en materia de gobierno de IA y coordinar la articulación con la SGTD-PCM.</w:t>
            </w:r>
          </w:p>
          <w:p w14:paraId="5AB61E5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highlight w:val="yellow"/>
              </w:rPr>
              <w:t>Administrar y centralizar la evaluación de los riesgos de los SBIA.</w:t>
            </w:r>
          </w:p>
          <w:p w14:paraId="5C99D577" w14:textId="17B685DD" w:rsidR="008E63B0" w:rsidRDefault="008E63B0" w:rsidP="008E63B0">
            <w:pPr>
              <w:pStyle w:val="Prrafodelista"/>
              <w:numPr>
                <w:ilvl w:val="0"/>
                <w:numId w:val="13"/>
              </w:numPr>
              <w:spacing w:before="20" w:after="20" w:line="276" w:lineRule="auto"/>
              <w:ind w:left="273" w:hanging="273"/>
              <w:jc w:val="left"/>
              <w:rPr>
                <w:b w:val="0"/>
                <w:bCs w:val="0"/>
              </w:rPr>
            </w:pPr>
            <w:r w:rsidRPr="008E63B0">
              <w:rPr>
                <w:b w:val="0"/>
                <w:bCs w:val="0"/>
                <w:highlight w:val="cyan"/>
              </w:rPr>
              <w:t>Convocar a otras unidades de organización y a especialistas adicionales según la materia y la complejidad del caso de uso.</w:t>
            </w:r>
          </w:p>
        </w:tc>
      </w:tr>
    </w:tbl>
    <w:p w14:paraId="7AD0E99B" w14:textId="77777777" w:rsidR="00B34A74" w:rsidRDefault="00B34A74" w:rsidP="00A46D47">
      <w:pPr>
        <w:pStyle w:val="SubtituloDONI"/>
        <w:spacing w:line="276" w:lineRule="auto"/>
        <w:ind w:left="851"/>
      </w:pP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58843B40" w14:textId="77777777" w:rsidTr="00904C72">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B9EDCAA" w14:textId="77777777" w:rsidR="00B34A74" w:rsidRDefault="00B34A74" w:rsidP="00904C72">
            <w:pPr>
              <w:spacing w:before="20" w:after="20" w:line="276" w:lineRule="auto"/>
              <w:rPr>
                <w:rFonts w:ascii="Arial" w:eastAsia="Arial" w:hAnsi="Arial" w:cs="Arial"/>
                <w:b/>
                <w:bCs/>
              </w:rPr>
            </w:pPr>
            <w:r>
              <w:rPr>
                <w:rFonts w:ascii="Arial" w:eastAsia="Arial" w:hAnsi="Arial" w:cs="Arial"/>
                <w:b/>
                <w:bCs/>
              </w:rPr>
              <w:t>Integrantes de la Comisión de Gobierno de IA</w:t>
            </w:r>
          </w:p>
        </w:tc>
      </w:tr>
      <w:tr w:rsidR="00B34A74" w:rsidRPr="00923C59" w14:paraId="3111FE5B" w14:textId="77777777" w:rsidTr="00904C72">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1E9C1"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CD1735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A42D5D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Responsabilidades</w:t>
            </w:r>
          </w:p>
        </w:tc>
      </w:tr>
      <w:tr w:rsidR="00B34A74" w14:paraId="5A467A1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57C8D2"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BFD903" w14:textId="77777777" w:rsidR="00B34A74" w:rsidRDefault="00B34A74" w:rsidP="00904C72">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F50ED3"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tc>
      </w:tr>
      <w:tr w:rsidR="00B34A74" w14:paraId="79E72889"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C76C9F" w14:textId="77777777" w:rsidR="00B34A74" w:rsidRDefault="00B34A74" w:rsidP="00904C72">
            <w:pPr>
              <w:spacing w:after="0" w:line="276" w:lineRule="auto"/>
            </w:pPr>
            <w:r>
              <w:rPr>
                <w:rFonts w:ascii="Arial" w:eastAsia="Arial" w:hAnsi="Arial" w:cs="Arial"/>
                <w:b/>
                <w:bCs/>
                <w:color w:val="000000"/>
              </w:rPr>
              <w:t>Oficial de</w:t>
            </w:r>
          </w:p>
          <w:p w14:paraId="699EF18A" w14:textId="77777777" w:rsidR="00B34A74" w:rsidRPr="00923C59" w:rsidRDefault="00B34A74" w:rsidP="00904C72">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A53CE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E8134"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w:t>
            </w:r>
            <w:r>
              <w:rPr>
                <w:b w:val="0"/>
                <w:bCs w:val="0"/>
                <w:color w:val="000000"/>
                <w:highlight w:val="yellow"/>
              </w:rPr>
              <w:lastRenderedPageBreak/>
              <w:t xml:space="preserve">precisión y representatividad en los SBIA, conforme al numeral 6.8. </w:t>
            </w:r>
          </w:p>
          <w:p w14:paraId="2C4F511A"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7B8A7F4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0B04A9" w14:textId="77777777" w:rsidR="00B34A74" w:rsidRDefault="00B34A74" w:rsidP="00904C72">
            <w:pPr>
              <w:spacing w:after="0" w:line="276" w:lineRule="auto"/>
            </w:pPr>
            <w:r>
              <w:rPr>
                <w:rFonts w:ascii="Arial" w:eastAsia="Arial" w:hAnsi="Arial" w:cs="Arial"/>
                <w:b/>
                <w:bCs/>
                <w:color w:val="000000"/>
                <w:highlight w:val="yellow"/>
              </w:rPr>
              <w:lastRenderedPageBreak/>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BE88A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8D76E4"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6316C4D8"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4285C671"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4123A8" w14:textId="77777777" w:rsidR="00B34A74" w:rsidRDefault="00B34A74" w:rsidP="00904C72">
            <w:pPr>
              <w:spacing w:after="0" w:line="276" w:lineRule="auto"/>
            </w:pPr>
            <w:r>
              <w:rPr>
                <w:rFonts w:ascii="Arial" w:eastAsia="Arial" w:hAnsi="Arial" w:cs="Arial"/>
                <w:b/>
                <w:bCs/>
                <w:color w:val="000000"/>
                <w:highlight w:val="yellow"/>
              </w:rPr>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019050"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0A3451"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seguridad digital: promueve la seguridad y confiabilidad de los SBIA y brinda soporte en la gestión de riesgos en su desarrollo, implementación y uso, conforme al numeral 6.7.1.</w:t>
            </w:r>
          </w:p>
        </w:tc>
      </w:tr>
      <w:tr w:rsidR="00B34A74" w14:paraId="0B3F707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1AADAD" w14:textId="77777777" w:rsidR="00B34A74" w:rsidRPr="00923C59" w:rsidRDefault="00B34A74" w:rsidP="00904C72">
            <w:pPr>
              <w:spacing w:before="20" w:after="20" w:line="276" w:lineRule="auto"/>
              <w:rPr>
                <w:rFonts w:ascii="Arial" w:hAnsi="Arial" w:cs="Arial"/>
              </w:rPr>
            </w:pPr>
            <w:r>
              <w:rPr>
                <w:rFonts w:ascii="Arial" w:eastAsia="Arial" w:hAnsi="Arial" w:cs="Arial"/>
                <w:b/>
                <w:bCs/>
              </w:rPr>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858A69" w14:textId="77777777" w:rsidR="00B34A74" w:rsidRPr="00923C59" w:rsidRDefault="00B34A74" w:rsidP="00904C72">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1B9956"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32D6651D"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5F1E086"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3199A77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CA3B6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55C4C5" w14:textId="77777777" w:rsidR="00B34A74" w:rsidRPr="00923C59" w:rsidRDefault="00B34A74" w:rsidP="00904C72">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A980D"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w:t>
            </w:r>
            <w:r>
              <w:rPr>
                <w:b w:val="0"/>
                <w:bCs w:val="0"/>
                <w:highlight w:val="yellow"/>
              </w:rPr>
              <w:lastRenderedPageBreak/>
              <w:t xml:space="preserve">consta de manera expresa en la propuesta, conforme al numeral 6.2.2. </w:t>
            </w:r>
          </w:p>
          <w:p w14:paraId="0D580670"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Asesora sobre el cumplimiento normativo de los SBIA. Revisa la EIA en materia de protección de datos y reserva tributaria. </w:t>
            </w:r>
          </w:p>
          <w:p w14:paraId="04FBB6C1"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Emite opinión previa sobre contratos con proveedores internacionales de IA. </w:t>
            </w:r>
          </w:p>
          <w:p w14:paraId="479EC934" w14:textId="77777777" w:rsidR="00B34A74"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Absuelve consultas legales sobre IA.</w:t>
            </w:r>
          </w:p>
        </w:tc>
      </w:tr>
      <w:tr w:rsidR="00B34A74" w14:paraId="6BA7FDD2"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BB007C" w14:textId="77777777" w:rsidR="00B34A74" w:rsidRPr="00923C59" w:rsidRDefault="00B34A74" w:rsidP="00904C72">
            <w:pPr>
              <w:spacing w:before="20" w:after="20" w:line="276" w:lineRule="auto"/>
              <w:rPr>
                <w:rFonts w:ascii="Arial" w:hAnsi="Arial" w:cs="Arial"/>
              </w:rPr>
            </w:pPr>
            <w:r>
              <w:rPr>
                <w:rFonts w:ascii="Arial" w:eastAsia="Arial" w:hAnsi="Arial" w:cs="Arial"/>
                <w:b/>
                <w:bCs/>
              </w:rPr>
              <w:lastRenderedPageBreak/>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E76FB" w14:textId="34453DF2" w:rsidR="00B34A74" w:rsidRPr="00923C59" w:rsidRDefault="00B34A74" w:rsidP="00904C72">
            <w:pPr>
              <w:spacing w:before="20" w:after="20" w:line="276" w:lineRule="auto"/>
              <w:rPr>
                <w:rFonts w:ascii="Arial" w:hAnsi="Arial" w:cs="Arial"/>
              </w:rPr>
            </w:pPr>
            <w:r>
              <w:rPr>
                <w:rFonts w:ascii="Arial" w:eastAsia="Arial" w:hAnsi="Arial" w:cs="Arial"/>
              </w:rPr>
              <w:t>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3A77DB" w14:textId="77777777" w:rsidR="00171767" w:rsidRDefault="00171767" w:rsidP="00904C72">
            <w:pPr>
              <w:pStyle w:val="Prrafodelista"/>
              <w:numPr>
                <w:ilvl w:val="0"/>
                <w:numId w:val="16"/>
              </w:numPr>
              <w:spacing w:before="20" w:after="20" w:line="276" w:lineRule="auto"/>
              <w:ind w:left="299" w:hanging="283"/>
              <w:jc w:val="left"/>
              <w:rPr>
                <w:b w:val="0"/>
                <w:bCs w:val="0"/>
                <w:highlight w:val="green"/>
              </w:rPr>
            </w:pPr>
            <w:r w:rsidRPr="00171767">
              <w:rPr>
                <w:b w:val="0"/>
                <w:bCs w:val="0"/>
                <w:highlight w:val="green"/>
              </w:rPr>
              <w:t xml:space="preserve">Efectúa el análisis de riesgo y las pruebas de vulnerabilidad sobre la arquitectura de aplicaciones, de información y de infraestructura tecnológica que soporta los SBIA, conforme al literal b) del artículo 106 del ROF. </w:t>
            </w:r>
          </w:p>
          <w:p w14:paraId="481BC02B" w14:textId="5BBFF583" w:rsidR="00B34A74" w:rsidRPr="00171767" w:rsidRDefault="00171767" w:rsidP="00904C72">
            <w:pPr>
              <w:pStyle w:val="Prrafodelista"/>
              <w:numPr>
                <w:ilvl w:val="0"/>
                <w:numId w:val="16"/>
              </w:numPr>
              <w:spacing w:before="20" w:after="20" w:line="276" w:lineRule="auto"/>
              <w:ind w:left="299" w:hanging="283"/>
              <w:jc w:val="left"/>
              <w:rPr>
                <w:b w:val="0"/>
                <w:bCs w:val="0"/>
                <w:highlight w:val="green"/>
              </w:rPr>
            </w:pPr>
            <w:r w:rsidRPr="00171767">
              <w:rPr>
                <w:b w:val="0"/>
                <w:bCs w:val="0"/>
                <w:highlight w:val="green"/>
              </w:rPr>
              <w:t>Evalúa y propone los requisitos de seguridad de los SBIA, conforme al literal e) del mismo artículo (OSI).</w:t>
            </w:r>
          </w:p>
        </w:tc>
      </w:tr>
      <w:tr w:rsidR="00B34A74" w14:paraId="37D9A84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C1571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6626B" w14:textId="77777777" w:rsidR="00B34A74" w:rsidRPr="00923C59" w:rsidRDefault="00B34A74" w:rsidP="00904C72">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6AA00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248906E1"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50FFB91E"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196AA9" w14:textId="77777777" w:rsidR="00B34A74" w:rsidRPr="00923C59" w:rsidRDefault="00B34A74" w:rsidP="00904C72">
            <w:pPr>
              <w:spacing w:before="20" w:after="20" w:line="276" w:lineRule="auto"/>
              <w:rPr>
                <w:rFonts w:ascii="Arial" w:hAnsi="Arial" w:cs="Arial"/>
              </w:rPr>
            </w:pPr>
            <w:r>
              <w:rPr>
                <w:rFonts w:ascii="Arial" w:eastAsia="Arial" w:hAnsi="Arial" w:cs="Arial"/>
                <w:b/>
                <w:bCs/>
              </w:rPr>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1D9815" w14:textId="77777777" w:rsidR="00B34A74" w:rsidRPr="00923C59" w:rsidRDefault="00B34A74" w:rsidP="00904C72">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02A6E" w14:textId="77777777" w:rsidR="00B34A74" w:rsidRPr="00B34A74" w:rsidRDefault="00B34A74" w:rsidP="00B34A74">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64489EC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Integra los SBIA al Plan de Sistemas de la INSI.</w:t>
            </w:r>
          </w:p>
        </w:tc>
      </w:tr>
      <w:tr w:rsidR="00B34A74" w14:paraId="50948364"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6D8DA9" w14:textId="4645AE22" w:rsidR="00B34A74" w:rsidRDefault="00B34A74" w:rsidP="00904C72">
            <w:pPr>
              <w:spacing w:before="20" w:after="20" w:line="276" w:lineRule="auto"/>
              <w:rPr>
                <w:rFonts w:ascii="Arial" w:hAnsi="Arial" w:cs="Arial"/>
              </w:rPr>
            </w:pPr>
            <w:r>
              <w:rPr>
                <w:rFonts w:ascii="Arial" w:eastAsia="Arial" w:hAnsi="Arial" w:cs="Arial"/>
                <w:b/>
                <w:bCs/>
                <w:highlight w:val="yellow"/>
              </w:rPr>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07D75" w14:textId="77777777" w:rsidR="00B34A74" w:rsidRDefault="00B34A74" w:rsidP="00904C72">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39F57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un enfoque holístico, sistémico y con sinergia en el desarrollo del caso de negocio de las iniciativas de SBIA.</w:t>
            </w:r>
          </w:p>
          <w:p w14:paraId="0B8A380A"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lastRenderedPageBreak/>
              <w:t>Promueve la reusabilidad de las soluciones tecnológicas en el desarrollo del caso de negocio de los SBIA.</w:t>
            </w:r>
          </w:p>
        </w:tc>
      </w:tr>
      <w:tr w:rsidR="00B34A74" w14:paraId="5226AE7A"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817029" w14:textId="5C271067" w:rsidR="00B34A74" w:rsidRPr="005B30EE" w:rsidRDefault="005B30EE" w:rsidP="00904C72">
            <w:pPr>
              <w:spacing w:before="20" w:after="20" w:line="276" w:lineRule="auto"/>
              <w:rPr>
                <w:rFonts w:ascii="Arial" w:hAnsi="Arial" w:cs="Arial"/>
                <w:highlight w:val="lightGray"/>
              </w:rPr>
            </w:pPr>
            <w:r w:rsidRPr="005B30EE">
              <w:rPr>
                <w:rFonts w:ascii="Arial" w:eastAsia="Arial" w:hAnsi="Arial" w:cs="Arial"/>
                <w:b/>
                <w:bCs/>
                <w:highlight w:val="lightGray"/>
              </w:rPr>
              <w:lastRenderedPageBreak/>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B8D71F" w14:textId="6834B957" w:rsidR="00B34A74" w:rsidRPr="005B30EE" w:rsidRDefault="005B30EE" w:rsidP="00904C72">
            <w:pPr>
              <w:spacing w:before="20" w:after="20" w:line="276" w:lineRule="auto"/>
              <w:rPr>
                <w:rFonts w:ascii="Arial" w:hAnsi="Arial" w:cs="Arial"/>
                <w:highlight w:val="lightGray"/>
              </w:rPr>
            </w:pPr>
            <w:r w:rsidRPr="005B30EE">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41EB67" w14:textId="77777777" w:rsidR="005B30EE" w:rsidRDefault="005B30EE" w:rsidP="005B30EE">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t xml:space="preserve">En materia de negocio: aporta a la Comisión de Gobierno de IA la visión del ámbito de la Superintendencia Nacional Adjunta que lo designa. </w:t>
            </w:r>
          </w:p>
          <w:p w14:paraId="71793657" w14:textId="0A0F4648" w:rsidR="00B34A74" w:rsidRPr="005B30EE" w:rsidRDefault="005B30EE" w:rsidP="005B30EE">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t>Contribuye a la evaluación del componente de IA con el conocimiento operativo de los procesos de dicho ámbito y de su impacto en los administrados. Su participación es permanente y no sustituye la del propietario del caso de uso, a quien la Comisión convoca cuando se evalúa un caso de uso de su proceso, conforme al numeral</w:t>
            </w:r>
            <w:r w:rsidR="005F3265">
              <w:rPr>
                <w:b w:val="0"/>
                <w:bCs w:val="0"/>
                <w:highlight w:val="lightGray"/>
              </w:rPr>
              <w:t xml:space="preserve"> </w:t>
            </w:r>
            <w:r w:rsidRPr="005B30EE">
              <w:rPr>
                <w:b w:val="0"/>
                <w:bCs w:val="0"/>
                <w:highlight w:val="lightGray"/>
              </w:rPr>
              <w:t>5.3.2.</w:t>
            </w:r>
          </w:p>
        </w:tc>
      </w:tr>
      <w:tr w:rsidR="00B34A74" w14:paraId="1CD4B12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0565D"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FDF1AB" w14:textId="77777777" w:rsidR="00B34A74" w:rsidRDefault="00B34A74" w:rsidP="00904C72">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2D1CB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Define las estrategias de gestión de recursos humanos relacionadas con la adopción y el uso de los SBIA.</w:t>
            </w:r>
          </w:p>
          <w:p w14:paraId="56B2779C"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Conduce las acciones de sensibilización, concientización y capacitación en IA, diferenciadas por grupos de uso de SBIA.</w:t>
            </w:r>
          </w:p>
          <w:p w14:paraId="17A3763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Lidera la gestión del cambio asociada a la adopción de la inteligencia artificial en el ámbito de las personas.</w:t>
            </w:r>
          </w:p>
          <w:p w14:paraId="74F9D318"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2F2440BF"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bl>
    <w:p w14:paraId="59792E3A" w14:textId="77777777" w:rsidR="00863A18" w:rsidRPr="00923C59" w:rsidRDefault="00863A18" w:rsidP="00B23382">
      <w:pPr>
        <w:pStyle w:val="Ttulo1"/>
        <w:spacing w:line="276" w:lineRule="auto"/>
        <w:rPr>
          <w:rFonts w:cs="Arial"/>
          <w:szCs w:val="22"/>
        </w:rPr>
      </w:pPr>
      <w:bookmarkStart w:id="6" w:name="_Toc235003966"/>
      <w:r>
        <w:rPr>
          <w:rFonts w:cs="Arial"/>
          <w:bCs/>
          <w:color w:val="000000"/>
          <w:szCs w:val="22"/>
        </w:rPr>
        <w:lastRenderedPageBreak/>
        <w:t>DISPOSICIONES ESPECÍFICAS</w:t>
      </w:r>
      <w:bookmarkEnd w:id="6"/>
    </w:p>
    <w:p w14:paraId="18EF5179"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30153FBD" w14:textId="77777777" w:rsidR="00863A18" w:rsidRPr="00923C59" w:rsidRDefault="00863A18" w:rsidP="00B23382">
      <w:pPr>
        <w:pStyle w:val="SubtituloDONI"/>
        <w:spacing w:line="276" w:lineRule="auto"/>
        <w:ind w:left="851"/>
      </w:pPr>
      <w:r>
        <w:t>6.1</w:t>
      </w:r>
      <w:r>
        <w:tab/>
        <w:t>Del ciclo de vida de los SBIA</w:t>
      </w:r>
    </w:p>
    <w:p w14:paraId="3A3AF2A7" w14:textId="5EB48F8C" w:rsidR="00863A18" w:rsidRPr="00923C59" w:rsidRDefault="00E950CF" w:rsidP="002711BE">
      <w:pPr>
        <w:spacing w:after="60" w:line="276" w:lineRule="auto"/>
        <w:ind w:left="1276" w:hanging="720"/>
        <w:jc w:val="both"/>
        <w:rPr>
          <w:rFonts w:ascii="Arial" w:eastAsia="Arial" w:hAnsi="Arial" w:cs="Arial"/>
          <w:color w:val="000000"/>
        </w:rPr>
      </w:pPr>
      <w:r>
        <w:rPr>
          <w:rFonts w:ascii="Arial" w:eastAsia="Arial" w:hAnsi="Arial" w:cs="Arial"/>
          <w:color w:val="000000"/>
        </w:rPr>
        <w:t>6.1.1</w:t>
      </w:r>
      <w:r>
        <w:rPr>
          <w:rFonts w:ascii="Arial" w:eastAsia="Arial" w:hAnsi="Arial" w:cs="Arial"/>
          <w:color w:val="000000"/>
        </w:rPr>
        <w:tab/>
      </w:r>
      <w:r w:rsidR="002711BE" w:rsidRPr="002711BE">
        <w:rPr>
          <w:rFonts w:ascii="Arial" w:eastAsia="Arial" w:hAnsi="Arial" w:cs="Arial"/>
          <w:color w:val="000000"/>
          <w:highlight w:val="green"/>
        </w:rPr>
        <w:t>Todo SBIA en la SUNAT sigue un ciclo de vida gestionado, con las etapas y los hitos</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propios del componente de IA que se detallan a continuación. Este ciclo no sustituye</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ni duplica a los instrumentos institucionales que regulan la gestión de proyectos y el</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desarrollo de sistemas: se apoya en las conformidades que las unidades de organización</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competentes emiten conforme a ellos y añade únicamente lo que es propio de la</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inteligencia artificial. Su desarrollo metodológico se efectúa conforme al numeral 6.1.5.</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48"/>
        <w:gridCol w:w="2429"/>
      </w:tblGrid>
      <w:tr w:rsidR="00E950CF" w:rsidRPr="00923C59" w14:paraId="501327E5"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27BC4F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13FF87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E2BEB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25E4A82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70A2FD4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EE6C96"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C87BA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3C823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A9030F" w14:textId="7B90B18B" w:rsidR="00C603B3" w:rsidRPr="00C603B3" w:rsidRDefault="00C603B3" w:rsidP="00C603B3">
            <w:pPr>
              <w:spacing w:before="20" w:after="20" w:line="276" w:lineRule="auto"/>
              <w:rPr>
                <w:rFonts w:ascii="Arial" w:eastAsia="Arial" w:hAnsi="Arial" w:cs="Arial"/>
                <w:highlight w:val="green"/>
              </w:rPr>
            </w:pPr>
            <w:r w:rsidRPr="00C603B3">
              <w:rPr>
                <w:rFonts w:ascii="Arial" w:eastAsia="Arial" w:hAnsi="Arial" w:cs="Arial"/>
                <w:highlight w:val="green"/>
              </w:rPr>
              <w:t>La etapa concluye con la presentación a la</w:t>
            </w:r>
            <w:r w:rsidRPr="00C603B3">
              <w:rPr>
                <w:rFonts w:ascii="Arial" w:eastAsia="Arial" w:hAnsi="Arial" w:cs="Arial"/>
                <w:highlight w:val="green"/>
              </w:rPr>
              <w:t xml:space="preserve"> </w:t>
            </w:r>
            <w:r w:rsidRPr="00C603B3">
              <w:rPr>
                <w:rFonts w:ascii="Arial" w:eastAsia="Arial" w:hAnsi="Arial" w:cs="Arial"/>
                <w:highlight w:val="green"/>
              </w:rPr>
              <w:t>Comisión de Gobierno de IA de la Ficha de</w:t>
            </w:r>
          </w:p>
          <w:p w14:paraId="4084A96C" w14:textId="150F5B75" w:rsidR="00C603B3" w:rsidRPr="00C603B3" w:rsidRDefault="00C603B3" w:rsidP="00C603B3">
            <w:pPr>
              <w:spacing w:before="20" w:after="20" w:line="276" w:lineRule="auto"/>
              <w:rPr>
                <w:rFonts w:ascii="Arial" w:eastAsia="Arial" w:hAnsi="Arial" w:cs="Arial"/>
                <w:highlight w:val="green"/>
              </w:rPr>
            </w:pPr>
            <w:r w:rsidRPr="00C603B3">
              <w:rPr>
                <w:rFonts w:ascii="Arial" w:eastAsia="Arial" w:hAnsi="Arial" w:cs="Arial"/>
                <w:highlight w:val="green"/>
              </w:rPr>
              <w:t>Evaluación de Caso de Uso, suscrita conforme a la Sección 6 del</w:t>
            </w:r>
            <w:r w:rsidRPr="00C603B3">
              <w:rPr>
                <w:rFonts w:ascii="Arial" w:eastAsia="Arial" w:hAnsi="Arial" w:cs="Arial"/>
                <w:highlight w:val="green"/>
              </w:rPr>
              <w:t xml:space="preserve"> </w:t>
            </w:r>
            <w:r w:rsidRPr="00C603B3">
              <w:rPr>
                <w:rFonts w:ascii="Arial" w:eastAsia="Arial" w:hAnsi="Arial" w:cs="Arial"/>
                <w:highlight w:val="green"/>
              </w:rPr>
              <w:t>Anexo N.° 4. La etapa no</w:t>
            </w:r>
            <w:r w:rsidRPr="00C603B3">
              <w:rPr>
                <w:rFonts w:ascii="Arial" w:eastAsia="Arial" w:hAnsi="Arial" w:cs="Arial"/>
                <w:highlight w:val="green"/>
              </w:rPr>
              <w:t xml:space="preserve"> </w:t>
            </w:r>
            <w:r w:rsidRPr="00C603B3">
              <w:rPr>
                <w:rFonts w:ascii="Arial" w:eastAsia="Arial" w:hAnsi="Arial" w:cs="Arial"/>
                <w:highlight w:val="green"/>
              </w:rPr>
              <w:t>comporta hito de aprobación: la</w:t>
            </w:r>
            <w:r w:rsidRPr="00C603B3">
              <w:rPr>
                <w:rFonts w:ascii="Arial" w:eastAsia="Arial" w:hAnsi="Arial" w:cs="Arial"/>
                <w:highlight w:val="green"/>
              </w:rPr>
              <w:t xml:space="preserve"> </w:t>
            </w:r>
            <w:r w:rsidRPr="00C603B3">
              <w:rPr>
                <w:rFonts w:ascii="Arial" w:eastAsia="Arial" w:hAnsi="Arial" w:cs="Arial"/>
                <w:highlight w:val="green"/>
              </w:rPr>
              <w:t>evaluación del</w:t>
            </w:r>
            <w:r w:rsidRPr="00C603B3">
              <w:rPr>
                <w:rFonts w:ascii="Arial" w:eastAsia="Arial" w:hAnsi="Arial" w:cs="Arial"/>
                <w:highlight w:val="green"/>
              </w:rPr>
              <w:t xml:space="preserve"> </w:t>
            </w:r>
            <w:r w:rsidRPr="00C603B3">
              <w:rPr>
                <w:rFonts w:ascii="Arial" w:eastAsia="Arial" w:hAnsi="Arial" w:cs="Arial"/>
                <w:highlight w:val="green"/>
              </w:rPr>
              <w:t>componente de IA y la aprobación</w:t>
            </w:r>
            <w:r w:rsidRPr="00C603B3">
              <w:rPr>
                <w:rFonts w:ascii="Arial" w:eastAsia="Arial" w:hAnsi="Arial" w:cs="Arial"/>
                <w:highlight w:val="green"/>
              </w:rPr>
              <w:t xml:space="preserve"> </w:t>
            </w:r>
            <w:r w:rsidRPr="00C603B3">
              <w:rPr>
                <w:rFonts w:ascii="Arial" w:eastAsia="Arial" w:hAnsi="Arial" w:cs="Arial"/>
                <w:highlight w:val="green"/>
              </w:rPr>
              <w:t>corresponden</w:t>
            </w:r>
          </w:p>
          <w:p w14:paraId="645D76CA" w14:textId="3C647E2F" w:rsidR="00E67A73" w:rsidRDefault="00C603B3" w:rsidP="00C603B3">
            <w:pPr>
              <w:spacing w:before="20" w:after="20" w:line="276" w:lineRule="auto"/>
              <w:rPr>
                <w:rFonts w:ascii="Arial" w:hAnsi="Arial" w:cs="Arial"/>
              </w:rPr>
            </w:pPr>
            <w:r w:rsidRPr="00C603B3">
              <w:rPr>
                <w:rFonts w:ascii="Arial" w:eastAsia="Arial" w:hAnsi="Arial" w:cs="Arial"/>
                <w:highlight w:val="green"/>
              </w:rPr>
              <w:t>a la etapa 2.</w:t>
            </w:r>
          </w:p>
        </w:tc>
      </w:tr>
      <w:tr w:rsidR="00E950CF" w:rsidRPr="00923C59" w14:paraId="37A6D1E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DC2540" w14:textId="77777777" w:rsidR="00E950CF" w:rsidRPr="00923C59" w:rsidRDefault="00E950CF" w:rsidP="00B23382">
            <w:pPr>
              <w:spacing w:before="20" w:after="20" w:line="276" w:lineRule="auto"/>
              <w:rPr>
                <w:rFonts w:ascii="Arial" w:hAnsi="Arial" w:cs="Arial"/>
              </w:rPr>
            </w:pPr>
            <w:r>
              <w:rPr>
                <w:rFonts w:ascii="Arial" w:eastAsia="Arial" w:hAnsi="Arial" w:cs="Arial"/>
              </w:rPr>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8DDD9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7AE5C9" w14:textId="258972E4" w:rsidR="00E67A73" w:rsidRPr="00DE4308" w:rsidRDefault="0054144C" w:rsidP="00DE4308">
            <w:pPr>
              <w:spacing w:before="20" w:after="20" w:line="276" w:lineRule="auto"/>
              <w:rPr>
                <w:rFonts w:ascii="Arial" w:hAnsi="Arial" w:cs="Arial"/>
                <w:highlight w:val="green"/>
              </w:rPr>
            </w:pPr>
            <w:r w:rsidRPr="0054144C">
              <w:rPr>
                <w:rFonts w:ascii="Arial" w:eastAsia="Arial" w:hAnsi="Arial" w:cs="Arial"/>
                <w:highlight w:val="green"/>
              </w:rPr>
              <w:t xml:space="preserve">La INSI valida, en el ámbito de sus competencias y conforme a los instrumentos de gestión aplicables, que la solución propuesta requiere un componente basado en IA y que es técnicamente viable. Con dicha validación como insumo, la Comisión de Gobierno de IA evalúa la pertinencia del uso de IA y los aspectos legales, éticos y operativos del componente, y propone la clasificación de riesgo del SBIA, conforme al numeral 6.2. La opinión de la Comisión no </w:t>
            </w:r>
            <w:r w:rsidRPr="0054144C">
              <w:rPr>
                <w:rFonts w:ascii="Arial" w:eastAsia="Arial" w:hAnsi="Arial" w:cs="Arial"/>
                <w:highlight w:val="green"/>
              </w:rPr>
              <w:lastRenderedPageBreak/>
              <w:t>reitera la validación de la INSI ni la sustituye.</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7886E0" w14:textId="77777777" w:rsidR="00C603B3" w:rsidRPr="00C603B3" w:rsidRDefault="00C603B3" w:rsidP="00C603B3">
            <w:pPr>
              <w:spacing w:before="20" w:after="20" w:line="276" w:lineRule="auto"/>
              <w:rPr>
                <w:rFonts w:ascii="Arial" w:eastAsia="Arial" w:hAnsi="Arial" w:cs="Arial"/>
                <w:highlight w:val="green"/>
              </w:rPr>
            </w:pPr>
            <w:r w:rsidRPr="00C603B3">
              <w:rPr>
                <w:rFonts w:ascii="Arial" w:eastAsia="Arial" w:hAnsi="Arial" w:cs="Arial"/>
                <w:highlight w:val="green"/>
              </w:rPr>
              <w:lastRenderedPageBreak/>
              <w:t>Aprobación del caso de uso y de su clasificación de riesgo por el CGTD, en un solo acto y</w:t>
            </w:r>
          </w:p>
          <w:p w14:paraId="39CE3A7E" w14:textId="72ECF188" w:rsidR="00E67A73" w:rsidRPr="00C603B3" w:rsidRDefault="00C603B3" w:rsidP="00C603B3">
            <w:pPr>
              <w:spacing w:before="20" w:after="20" w:line="276" w:lineRule="auto"/>
              <w:rPr>
                <w:rFonts w:ascii="Arial" w:hAnsi="Arial" w:cs="Arial"/>
                <w:highlight w:val="green"/>
              </w:rPr>
            </w:pPr>
            <w:r w:rsidRPr="00C603B3">
              <w:rPr>
                <w:rFonts w:ascii="Arial" w:eastAsia="Arial" w:hAnsi="Arial" w:cs="Arial"/>
                <w:highlight w:val="green"/>
              </w:rPr>
              <w:t>conforme a los numerales 6.1.2 y 6.2.2.</w:t>
            </w:r>
          </w:p>
        </w:tc>
      </w:tr>
      <w:tr w:rsidR="00E950CF" w:rsidRPr="00923C59" w14:paraId="1E428106"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CEAA57"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6979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6C339" w14:textId="09AD6357" w:rsidR="00E67A73" w:rsidRDefault="0045319E">
            <w:pPr>
              <w:spacing w:before="20" w:after="20" w:line="276" w:lineRule="auto"/>
              <w:rPr>
                <w:rFonts w:ascii="Arial" w:hAnsi="Arial" w:cs="Arial"/>
              </w:rPr>
            </w:pPr>
            <w:r w:rsidRPr="0045319E">
              <w:rPr>
                <w:rFonts w:ascii="Arial" w:eastAsia="Arial" w:hAnsi="Arial" w:cs="Arial"/>
                <w:highlight w:val="green"/>
              </w:rPr>
              <w:t>La Gerencia de Arquitectura conduce el diseño de la arquitectura del SBIA y las Divisiones de Arquitectura lo elaboran, conforme al numeral 6.5.1. Se define el mecanismo de supervisión humana, conforme al numeral 6.6. Para los SBIA de 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2C4AE8" w14:textId="25C8F321" w:rsidR="00E67A73" w:rsidRDefault="0045319E">
            <w:pPr>
              <w:spacing w:before="20" w:after="20" w:line="276" w:lineRule="auto"/>
              <w:rPr>
                <w:rFonts w:ascii="Arial" w:hAnsi="Arial" w:cs="Arial"/>
              </w:rPr>
            </w:pPr>
            <w:r w:rsidRPr="0045319E">
              <w:rPr>
                <w:rFonts w:ascii="Arial" w:eastAsia="Arial" w:hAnsi="Arial" w:cs="Arial"/>
                <w:highlight w:val="green"/>
              </w:rPr>
              <w:t>Aprobación del diseño de la arquitectura de solución por la División de Arquitectura competente según la materia, conforme al numeral 6.5.4. Para SBIA de riesgo alto, aprobación de la EIA por el CGTD, previa al inicio del desarrollo o adquisición.</w:t>
            </w:r>
          </w:p>
        </w:tc>
      </w:tr>
      <w:tr w:rsidR="00E950CF" w:rsidRPr="00923C59" w14:paraId="7E26E27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C7561" w14:textId="77777777" w:rsidR="00E950CF" w:rsidRPr="00923C59" w:rsidRDefault="00E950CF" w:rsidP="00B23382">
            <w:pPr>
              <w:spacing w:before="20" w:after="20" w:line="276" w:lineRule="auto"/>
              <w:rPr>
                <w:rFonts w:ascii="Arial" w:hAnsi="Arial" w:cs="Arial"/>
              </w:rPr>
            </w:pPr>
            <w:r>
              <w:rPr>
                <w:rFonts w:ascii="Arial" w:eastAsia="Arial" w:hAnsi="Arial" w:cs="Arial"/>
              </w:rPr>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0FFEE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B2B6B7" w14:textId="1C844C0E" w:rsidR="00E67A73" w:rsidRDefault="00236A5F">
            <w:pPr>
              <w:spacing w:before="20" w:after="20" w:line="276" w:lineRule="auto"/>
              <w:rPr>
                <w:rFonts w:ascii="Arial" w:hAnsi="Arial" w:cs="Arial"/>
              </w:rPr>
            </w:pPr>
            <w:r w:rsidRPr="00236A5F">
              <w:rPr>
                <w:rFonts w:ascii="Arial" w:eastAsia="Arial" w:hAnsi="Arial" w:cs="Arial"/>
                <w:highlight w:val="green"/>
              </w:rPr>
              <w:t>Las gerencias competentes de la INSI ejecutan el desarrollo del SBIA o gestionan su adquisición. La Oficina de Seguridad Informática evalúa y propone los requisitos de seguridad del SBIA, conforme al literal e) del artículo 106 del ROF; dichos requisitos se incorporan como requisitos no funcionales y su implementación se verifica en la etapa de certificación y validación. El mecanismo de supervisión humana definido en la etapa de diseño se implementa en esta etapa conforme al numeral 6.6.2, y es distinto de los requisitos de seguridad antes señalados; su definición corresponde al propietario del caso de uso</w:t>
            </w:r>
            <w:r w:rsidRPr="00236A5F">
              <w:rPr>
                <w:rFonts w:ascii="Arial" w:eastAsia="Arial" w:hAnsi="Arial" w:cs="Arial"/>
              </w:rPr>
              <w:t>.</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18594E" w14:textId="77777777" w:rsidR="00E950CF" w:rsidRPr="00923C59" w:rsidRDefault="00E950CF" w:rsidP="00B23382">
            <w:pPr>
              <w:spacing w:before="20" w:after="20" w:line="276" w:lineRule="auto"/>
              <w:rPr>
                <w:rFonts w:ascii="Arial" w:hAnsi="Arial" w:cs="Arial"/>
              </w:rPr>
            </w:pPr>
            <w:r>
              <w:rPr>
                <w:rFonts w:ascii="Arial" w:eastAsia="Arial" w:hAnsi="Arial" w:cs="Arial"/>
              </w:rPr>
              <w:t>En desarrollo interno: Conformidad de Gerencia de Desarrollo de Sistemas (INSI). En adquisición: Conformidad de la gerencia INSI responsable.</w:t>
            </w:r>
          </w:p>
        </w:tc>
      </w:tr>
      <w:tr w:rsidR="00E950CF" w:rsidRPr="00923C59" w14:paraId="49057DB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CB0D55" w14:textId="77777777" w:rsidR="00E950CF" w:rsidRPr="00923C59" w:rsidRDefault="00E950CF" w:rsidP="00B23382">
            <w:pPr>
              <w:spacing w:before="20" w:after="20" w:line="276" w:lineRule="auto"/>
              <w:rPr>
                <w:rFonts w:ascii="Arial" w:hAnsi="Arial" w:cs="Arial"/>
              </w:rPr>
            </w:pPr>
            <w:r>
              <w:rPr>
                <w:rFonts w:ascii="Arial" w:eastAsia="Arial" w:hAnsi="Arial" w:cs="Arial"/>
              </w:rPr>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CB338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54824"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D759A" w14:textId="3E47AB45" w:rsidR="00E67A73" w:rsidRPr="00FA4DEA" w:rsidRDefault="00FA4DEA">
            <w:pPr>
              <w:spacing w:before="20" w:after="20" w:line="276" w:lineRule="auto"/>
              <w:rPr>
                <w:rFonts w:ascii="Arial" w:hAnsi="Arial" w:cs="Arial"/>
                <w:highlight w:val="green"/>
              </w:rPr>
            </w:pPr>
            <w:r w:rsidRPr="00FA4DEA">
              <w:rPr>
                <w:rFonts w:ascii="Arial" w:hAnsi="Arial" w:cs="Arial"/>
                <w:highlight w:val="green"/>
              </w:rPr>
              <w:t xml:space="preserve">La Gerencia de Calidad de Sistemas conduce el control y aseguramiento de la calidad y la División de Control de Calidad efectúa la verificación y validación de la </w:t>
            </w:r>
            <w:r w:rsidRPr="00FA4DEA">
              <w:rPr>
                <w:rFonts w:ascii="Arial" w:hAnsi="Arial" w:cs="Arial"/>
                <w:highlight w:val="green"/>
              </w:rPr>
              <w:lastRenderedPageBreak/>
              <w:t>calidad, conforme al numeral 6.10.3. La Oficina de Seguridad Informática efectúa el análisis de riesgo y las pruebas de vulnerabilidad sobre la arquitectura de aplicaciones, de información y de infraestructura tecnológica que soporta el SBIA, incluido el red teaming para riesgo alto, y verifica la implementación de los requisitos de seguridad propuestos en la etapa anterior. El propietario del caso de uso verifica la implementación del mecanismo de supervisión humana conforme al numeral 6.6.2. Con la conformidad de la División de Control de Calidad, de la Oficina de Seguridad Informática y del propietario del caso de uso, la aprobación corresponde conforme al numeral 6.1.2.</w:t>
            </w:r>
          </w:p>
        </w:tc>
      </w:tr>
      <w:tr w:rsidR="00E950CF" w:rsidRPr="00923C59" w14:paraId="7BAC85D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B3ED1A"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9BFDA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5F99CF"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9C6A73" w14:textId="55FB5AC1" w:rsidR="0018147B" w:rsidRPr="00FA4DEA" w:rsidRDefault="00FA4DEA">
            <w:pPr>
              <w:spacing w:before="20" w:after="20" w:line="276" w:lineRule="auto"/>
              <w:rPr>
                <w:rFonts w:ascii="Arial" w:hAnsi="Arial" w:cs="Arial"/>
                <w:highlight w:val="green"/>
              </w:rPr>
            </w:pPr>
            <w:r w:rsidRPr="00FA4DEA">
              <w:rPr>
                <w:rFonts w:ascii="Arial" w:eastAsia="Arial" w:hAnsi="Arial" w:cs="Arial"/>
                <w:highlight w:val="green"/>
              </w:rPr>
              <w:t>Aprobación de la puesta en producción por la División de Control de Calidad, conforme al literal c) del artículo 126 del ROF.</w:t>
            </w:r>
          </w:p>
        </w:tc>
      </w:tr>
      <w:tr w:rsidR="00E950CF" w:rsidRPr="00923C59" w14:paraId="4380B9A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9818B9"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35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64180"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5BB020"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2FFBF3F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5F2970"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58B80"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8570DD" w14:textId="77777777" w:rsidR="00E67A73" w:rsidRDefault="00000000">
            <w:pPr>
              <w:spacing w:before="20" w:after="20" w:line="276" w:lineRule="auto"/>
              <w:rPr>
                <w:rFonts w:ascii="Arial" w:hAnsi="Arial" w:cs="Arial"/>
              </w:rPr>
            </w:pPr>
            <w:r>
              <w:rPr>
                <w:rFonts w:ascii="Arial" w:eastAsia="Arial" w:hAnsi="Arial" w:cs="Arial"/>
                <w:highlight w:val="yellow"/>
              </w:rPr>
              <w:t>Retiro del SBIA asegurando la preservación de los registros y la continuidad del servicio. Se 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478D14" w14:textId="77777777" w:rsidR="00E67A73" w:rsidRDefault="00000000">
            <w:pPr>
              <w:spacing w:before="20" w:after="20" w:line="276" w:lineRule="auto"/>
              <w:rPr>
                <w:rFonts w:ascii="Arial" w:hAnsi="Arial" w:cs="Arial"/>
              </w:rPr>
            </w:pPr>
            <w:r>
              <w:rPr>
                <w:rFonts w:ascii="Arial" w:eastAsia="Arial" w:hAnsi="Arial" w:cs="Arial"/>
                <w:highlight w:val="yellow"/>
              </w:rPr>
              <w:t>Aprobación conforme al numeral 6.1.2. Actualización del Inventario Institucional de SBIA.</w:t>
            </w:r>
          </w:p>
        </w:tc>
      </w:tr>
    </w:tbl>
    <w:p w14:paraId="6FCBDB78" w14:textId="77777777" w:rsidR="00E950CF" w:rsidRPr="00923C59" w:rsidRDefault="00E950CF" w:rsidP="00B23382">
      <w:pPr>
        <w:spacing w:after="60" w:line="276" w:lineRule="auto"/>
        <w:jc w:val="both"/>
        <w:rPr>
          <w:rFonts w:ascii="Arial" w:eastAsia="Arial" w:hAnsi="Arial" w:cs="Arial"/>
          <w:color w:val="000000"/>
        </w:rPr>
      </w:pPr>
    </w:p>
    <w:p w14:paraId="7AAF6B06" w14:textId="3967B646" w:rsidR="00E67A73" w:rsidRDefault="00000000" w:rsidP="00D443F8">
      <w:pPr>
        <w:spacing w:after="60" w:line="276" w:lineRule="auto"/>
        <w:ind w:left="1276" w:hanging="720"/>
        <w:jc w:val="both"/>
        <w:rPr>
          <w:rFonts w:ascii="Arial" w:eastAsia="Arial" w:hAnsi="Arial" w:cs="Arial"/>
          <w:color w:val="000000"/>
        </w:rPr>
      </w:pPr>
      <w:r w:rsidRPr="00D443F8">
        <w:rPr>
          <w:rFonts w:ascii="Arial" w:hAnsi="Arial" w:cs="Arial"/>
          <w:color w:val="000000"/>
          <w:highlight w:val="green"/>
        </w:rPr>
        <w:t>6.1.2</w:t>
      </w:r>
      <w:r w:rsidRPr="00D443F8">
        <w:rPr>
          <w:rFonts w:ascii="Arial" w:hAnsi="Arial" w:cs="Arial"/>
          <w:color w:val="000000"/>
          <w:highlight w:val="green"/>
        </w:rPr>
        <w:tab/>
      </w:r>
      <w:r w:rsidR="00D443F8" w:rsidRPr="00D443F8">
        <w:rPr>
          <w:rFonts w:ascii="Arial" w:hAnsi="Arial" w:cs="Arial"/>
          <w:color w:val="000000"/>
          <w:highlight w:val="green"/>
        </w:rPr>
        <w:t>Los hitos de aprobación previstos en el numeral 6.1.1 son de carácter técnico. Recaen sobre el componente de IA y sobre su tránsito entre las etapas del ciclo de vida, y no constituyen aprobación de la iniciativa, del proyecto ni de la inversión, las cuales se rigen por los instrumentos de gestión institucionales y por las instancias competentes conforme al ROF. Dichos hitos corresponden al CGTD en los SBIA de riesgo alto y en los estratégicos para la entidad, y a la Comisión de Gobierno de IA en los SBIA de riesgo aceptable.</w:t>
      </w:r>
      <w:r w:rsidR="00B357D5" w:rsidRPr="00B357D5">
        <w:t xml:space="preserve"> </w:t>
      </w:r>
      <w:r w:rsidR="00B357D5" w:rsidRPr="00B357D5">
        <w:rPr>
          <w:rFonts w:ascii="Arial" w:hAnsi="Arial" w:cs="Arial"/>
          <w:color w:val="000000"/>
          <w:highlight w:val="green"/>
        </w:rPr>
        <w:t>Esta regla no alcanza a la aprobación del caso de uso y de su clasificación de riesgo, prevista en la etapa 2 del numeral 6.1.1, que corresponde al CGTD en todos los casos conforme al numeral 6.2.2.</w:t>
      </w:r>
      <w:r w:rsidR="00D443F8" w:rsidRPr="00D443F8">
        <w:rPr>
          <w:rFonts w:ascii="Arial" w:hAnsi="Arial" w:cs="Arial"/>
          <w:color w:val="000000"/>
          <w:highlight w:val="green"/>
        </w:rPr>
        <w:t xml:space="preserve"> La Comisión informa al CGTD de las aprobaciones que otorga. </w:t>
      </w:r>
      <w:r w:rsidR="00A3530D" w:rsidRPr="00A3530D">
        <w:rPr>
          <w:rFonts w:ascii="Arial" w:hAnsi="Arial" w:cs="Arial"/>
          <w:color w:val="000000"/>
          <w:highlight w:val="green"/>
        </w:rPr>
        <w:t>En los SBIA de riesgo alto, todas las etapas e hitos son obligatorios. En los SBIA de riesgo aceptable, la Comisión de Gobierno de IA puede aprobar un ciclo de vida simplificado y documentado, proporcional a la naturaleza y a la magnitud del SBIA.</w:t>
      </w:r>
    </w:p>
    <w:p w14:paraId="36A9BCB1"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r>
      <w:r>
        <w:rPr>
          <w:rFonts w:ascii="Arial" w:eastAsia="Arial" w:hAnsi="Arial" w:cs="Arial"/>
          <w:color w:val="000000"/>
          <w:highlight w:val="yellow"/>
        </w:rPr>
        <w:tab/>
        <w:t>Los SBIA SaaS (enfoque A) siguen un ciclo de vida abreviado que comprende el registro en el Inventario Institucional de SBIA, la clasificación de riesgo conforme al numeral 6.2 y las verificaciones previstas en el numeral 6.12.</w:t>
      </w:r>
    </w:p>
    <w:p w14:paraId="5AADA185" w14:textId="5F7DA608" w:rsidR="00D443F8" w:rsidRDefault="00000000" w:rsidP="00A84BB6">
      <w:pPr>
        <w:spacing w:after="60" w:line="276" w:lineRule="auto"/>
        <w:ind w:left="1276" w:hanging="720"/>
        <w:jc w:val="both"/>
        <w:rPr>
          <w:rFonts w:ascii="Arial" w:eastAsia="Arial" w:hAnsi="Arial" w:cs="Arial"/>
          <w:color w:val="000000"/>
        </w:rPr>
      </w:pPr>
      <w:r w:rsidRPr="00D443F8">
        <w:rPr>
          <w:rFonts w:ascii="Arial" w:eastAsia="Arial" w:hAnsi="Arial" w:cs="Arial"/>
          <w:color w:val="000000"/>
          <w:highlight w:val="green"/>
        </w:rPr>
        <w:t>6.1.4</w:t>
      </w:r>
      <w:r w:rsidRPr="00A84BB6">
        <w:rPr>
          <w:rFonts w:ascii="Arial" w:eastAsia="Arial" w:hAnsi="Arial" w:cs="Arial"/>
          <w:color w:val="000000"/>
          <w:highlight w:val="green"/>
        </w:rPr>
        <w:tab/>
      </w:r>
      <w:r w:rsidR="00D443F8" w:rsidRPr="00A84BB6">
        <w:rPr>
          <w:rFonts w:ascii="Arial" w:eastAsia="Arial" w:hAnsi="Arial" w:cs="Arial"/>
          <w:color w:val="000000"/>
          <w:highlight w:val="green"/>
        </w:rPr>
        <w:t xml:space="preserve">El pronunciamiento de la Comisión de Gobierno de IA en los hitos del ciclo de vida </w:t>
      </w:r>
      <w:r w:rsidR="00A84BB6" w:rsidRPr="00A84BB6">
        <w:rPr>
          <w:rFonts w:ascii="Arial" w:eastAsia="Arial" w:hAnsi="Arial" w:cs="Arial"/>
          <w:color w:val="000000"/>
          <w:highlight w:val="green"/>
        </w:rPr>
        <w:t>recae sobre el componente de IA, conforme al numeral 6.15.1. Cuando la Ficha de Evaluación</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de Caso de Uso (Anexo N.° 4) no contiene la información necesaria para pronunciarse, la</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Comisión acompaña al propietario del caso de uso a completarla y se pronuncia una vez que</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la recibe. La falta de información no es causal de pronunciamiento no favorable. El</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pronunciamiento favorable con condiciones identifica los controles exigidos y la etapa del</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 xml:space="preserve">ciclo de vida en que se </w:t>
      </w:r>
      <w:r w:rsidR="00A84BB6" w:rsidRPr="00A84BB6">
        <w:rPr>
          <w:rFonts w:ascii="Arial" w:eastAsia="Arial" w:hAnsi="Arial" w:cs="Arial"/>
          <w:color w:val="000000"/>
          <w:highlight w:val="green"/>
        </w:rPr>
        <w:t>verifican.</w:t>
      </w:r>
      <w:r w:rsidR="00D443F8" w:rsidRPr="00A84BB6">
        <w:rPr>
          <w:rFonts w:ascii="Arial" w:eastAsia="Arial" w:hAnsi="Arial" w:cs="Arial"/>
          <w:color w:val="000000"/>
          <w:highlight w:val="green"/>
        </w:rPr>
        <w:t xml:space="preserve"> </w:t>
      </w:r>
      <w:r w:rsidR="00D443F8" w:rsidRPr="00D443F8">
        <w:rPr>
          <w:rFonts w:ascii="Arial" w:eastAsia="Arial" w:hAnsi="Arial" w:cs="Arial"/>
          <w:color w:val="000000"/>
          <w:highlight w:val="green"/>
        </w:rPr>
        <w:t>El pronunciamiento no favorable se fundamenta por escrito y se eleva al CGTD, que resuelve en acta sobre la procedencia del uso del componente de IA.</w:t>
      </w:r>
    </w:p>
    <w:p w14:paraId="68622EF3" w14:textId="5A4EB8DE" w:rsidR="00E67A73" w:rsidRDefault="00000000" w:rsidP="00D443F8">
      <w:pPr>
        <w:spacing w:after="60" w:line="276" w:lineRule="auto"/>
        <w:ind w:left="1276" w:hanging="720"/>
        <w:jc w:val="both"/>
        <w:rPr>
          <w:rFonts w:ascii="Arial" w:eastAsia="Arial" w:hAnsi="Arial" w:cs="Arial"/>
          <w:color w:val="000000"/>
        </w:rPr>
      </w:pPr>
      <w:r w:rsidRPr="00166F8B">
        <w:rPr>
          <w:rFonts w:ascii="Arial" w:hAnsi="Arial" w:cs="Arial"/>
          <w:color w:val="000000"/>
          <w:highlight w:val="lightGray"/>
        </w:rPr>
        <w:t>6.1.5</w:t>
      </w:r>
      <w:r w:rsidRPr="00166F8B">
        <w:rPr>
          <w:rFonts w:ascii="Arial" w:hAnsi="Arial" w:cs="Arial"/>
          <w:color w:val="000000"/>
          <w:highlight w:val="lightGray"/>
        </w:rPr>
        <w:tab/>
      </w:r>
      <w:r w:rsidR="00166F8B" w:rsidRPr="00166F8B">
        <w:rPr>
          <w:rFonts w:ascii="Arial" w:hAnsi="Arial" w:cs="Arial"/>
          <w:color w:val="000000"/>
          <w:highlight w:val="lightGray"/>
        </w:rPr>
        <w:t>La INSI desarrolla y aprueba, conforme a sus competencias y a la METDONI, la metodología del ciclo de vida del SBIA previsto en el numeral 6.1.1.</w:t>
      </w:r>
      <w:r w:rsidR="00A72414">
        <w:rPr>
          <w:rFonts w:ascii="Arial" w:hAnsi="Arial" w:cs="Arial"/>
          <w:color w:val="000000"/>
          <w:highlight w:val="lightGray"/>
        </w:rPr>
        <w:t xml:space="preserve"> </w:t>
      </w:r>
      <w:r w:rsidR="00166F8B" w:rsidRPr="00166F8B">
        <w:rPr>
          <w:rFonts w:ascii="Arial" w:hAnsi="Arial" w:cs="Arial"/>
          <w:color w:val="000000"/>
          <w:highlight w:val="lightGray"/>
        </w:rPr>
        <w:t xml:space="preserve">Por comprender actuaciones a cargo de unidades de organización distintas de la INSI, su formulación recoge los aportes de dichas unidades y su aprobación </w:t>
      </w:r>
      <w:r w:rsidR="00166F8B" w:rsidRPr="00166F8B">
        <w:rPr>
          <w:rFonts w:ascii="Arial" w:hAnsi="Arial" w:cs="Arial"/>
          <w:color w:val="000000"/>
          <w:highlight w:val="lightGray"/>
        </w:rPr>
        <w:lastRenderedPageBreak/>
        <w:t xml:space="preserve">requiere la opinión favorable de la Comisión de Gobierno de IA, en ejercicio de las facultades previstas en el literal h del numeral 6.4 y en el numeral 6.5 de la METDONI. La metodología comprende, como mínimo: la aplicación de la clasificación de riesgo y de la evaluación de impacto algorítmico, los criterios técnicos de diseño de la arquitectura de los SBIA, el contenido de los entregables de cada etapa, los tipos y las técnicas de prueba aplicables según el nivel de riesgo, </w:t>
      </w:r>
      <w:r w:rsidR="00532CB5" w:rsidRPr="00532CB5">
        <w:rPr>
          <w:rFonts w:ascii="Arial" w:hAnsi="Arial" w:cs="Arial"/>
          <w:color w:val="000000"/>
          <w:highlight w:val="lightGray"/>
        </w:rPr>
        <w:t>los controles de contención, las prácticas de monitoreo, la gestión de los cambios sobre los SBIA en operación, incluidos los criterios de calificación del cambio significativo y el alcance de la revalidación aplicable,</w:t>
      </w:r>
      <w:r w:rsidR="00DB1816" w:rsidRPr="00DB1816">
        <w:t xml:space="preserve"> </w:t>
      </w:r>
      <w:r w:rsidR="00DB1816" w:rsidRPr="00DB1816">
        <w:rPr>
          <w:rFonts w:ascii="Arial" w:hAnsi="Arial" w:cs="Arial"/>
          <w:color w:val="000000"/>
          <w:highlight w:val="lightGray"/>
        </w:rPr>
        <w:t>y las condiciones de retiro. En tanto no se apruebe, los SBIA siguen el ciclo de vida del numeral 6.1.1 y la normativa de desarrollo de sistemas vigente en la SUNAT en lo que resulte aplicable.</w:t>
      </w:r>
    </w:p>
    <w:p w14:paraId="4B64236F" w14:textId="77777777" w:rsidR="00863A18" w:rsidRPr="00923C59" w:rsidRDefault="00863A18" w:rsidP="00B23382">
      <w:pPr>
        <w:pStyle w:val="SubtituloDONI"/>
        <w:spacing w:line="276" w:lineRule="auto"/>
        <w:ind w:left="851"/>
      </w:pPr>
      <w:r>
        <w:t>6.2</w:t>
      </w:r>
      <w:r>
        <w:tab/>
        <w:t>De la clasificación de los SBIA por nivel de riesgo</w:t>
      </w:r>
    </w:p>
    <w:p w14:paraId="5BB0242D" w14:textId="69E45197" w:rsidR="000153F0"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6.2.1</w:t>
      </w:r>
      <w:r>
        <w:rPr>
          <w:rFonts w:ascii="Arial" w:hAnsi="Arial" w:cs="Arial"/>
          <w:color w:val="000000"/>
          <w:highlight w:val="cyan"/>
        </w:rPr>
        <w:tab/>
        <w:t>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w:t>
      </w:r>
      <w:r w:rsidR="00352D87">
        <w:rPr>
          <w:rFonts w:ascii="Arial" w:hAnsi="Arial" w:cs="Arial"/>
          <w:color w:val="000000"/>
          <w:highlight w:val="cyan"/>
        </w:rPr>
        <w:t xml:space="preserve"> </w:t>
      </w:r>
      <w:r>
        <w:rPr>
          <w:rFonts w:ascii="Arial" w:hAnsi="Arial" w:cs="Arial"/>
          <w:color w:val="000000"/>
          <w:highlight w:val="cyan"/>
        </w:rPr>
        <w:t>La clasificación y la gestión de los riesgos de los SBIA se alinean a la NTP-ISO 31000 vigente, de uso obligatorio conforme a la Sexta Disposición Complementaria Final del RLIA.</w:t>
      </w:r>
    </w:p>
    <w:p w14:paraId="0F68BDCC" w14:textId="59BCB3CB" w:rsidR="00836DA1" w:rsidRDefault="00000000">
      <w:pPr>
        <w:spacing w:after="60" w:line="276" w:lineRule="auto"/>
        <w:ind w:left="1276" w:hanging="720"/>
        <w:jc w:val="both"/>
        <w:rPr>
          <w:rFonts w:ascii="Arial" w:eastAsia="Arial" w:hAnsi="Arial" w:cs="Arial"/>
          <w:color w:val="000000"/>
        </w:rPr>
      </w:pPr>
      <w:r w:rsidRPr="003758C8">
        <w:rPr>
          <w:rFonts w:ascii="Arial" w:eastAsia="Arial" w:hAnsi="Arial" w:cs="Arial"/>
          <w:color w:val="000000"/>
          <w:highlight w:val="green"/>
        </w:rPr>
        <w:t>6.2.2</w:t>
      </w:r>
      <w:r w:rsidRPr="003758C8">
        <w:rPr>
          <w:rFonts w:ascii="Arial" w:eastAsia="Arial" w:hAnsi="Arial" w:cs="Arial"/>
          <w:color w:val="000000"/>
          <w:highlight w:val="green"/>
        </w:rPr>
        <w:tab/>
      </w:r>
      <w:r w:rsidR="003758C8" w:rsidRPr="003758C8">
        <w:rPr>
          <w:rFonts w:ascii="Arial" w:eastAsia="Arial" w:hAnsi="Arial" w:cs="Arial"/>
          <w:highlight w:val="green"/>
        </w:rPr>
        <w:t>Para la aplicación de la clasificación establecida, la Comisión de Gobierno de IA propone la clasificación de riesgo de las iniciativas que se presentan. La opinión de la OII, en materia de ética, integridad y prevención de sesgos, y la de la INALI, en materia de cumplimiento normativo, constan de manera expresa en la propuesta. La aprobación de la clasificación de riesgo corresponde al CGTD en todos los casos. En los SBIA de riesgo alto y en los estratégicos para la entidad, el CGTD aprueba la clasificación mediante pronunciamiento individual. En los SBIA de riesgo aceptable, el CGTD aprueba la clasificación de manera agregada, sobre la relación que la Comisión de Gobierno de IA eleva a cada sesión ordinaria, sin perjuicio de que cualquiera de sus miembros solicite el tratamiento individual de una iniciativa determinada. La clasificación es parte de la evaluación de viabilidad de acuerdo al ciclo de vida descrito en el 6.1.1. La clasificación aplica los criterios de la Matriz de Clasificación de Riesgos (Anexo N.° 2); el detalle de su aplicación se desarrolla en la metodología prevista en el numeral 6.1.5.</w:t>
      </w:r>
    </w:p>
    <w:p w14:paraId="404600B8"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r>
      <w:r>
        <w:rPr>
          <w:rFonts w:ascii="Arial" w:eastAsia="Arial" w:hAnsi="Arial" w:cs="Arial"/>
          <w:color w:val="000000"/>
          <w:highlight w:val="yellow"/>
        </w:rPr>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xml:space="preserve">,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w:t>
      </w:r>
      <w:r>
        <w:rPr>
          <w:rFonts w:ascii="Arial" w:eastAsia="Arial" w:hAnsi="Arial" w:cs="Arial"/>
          <w:color w:val="000000"/>
          <w:highlight w:val="yellow"/>
        </w:rPr>
        <w:lastRenderedPageBreak/>
        <w:t>mecanismos de supervisión humana, transparencia y auditabilidad para garantizar la no discriminación y la protección de los derechos fundamentales, conforme al numeral 23.4 del citado artículo.</w:t>
      </w:r>
    </w:p>
    <w:p w14:paraId="589662DE" w14:textId="4FF8523D" w:rsidR="00F91DE2" w:rsidRDefault="00000000" w:rsidP="00DE4308">
      <w:pPr>
        <w:spacing w:after="60" w:line="276" w:lineRule="auto"/>
        <w:ind w:left="1276" w:hanging="720"/>
        <w:jc w:val="both"/>
        <w:rPr>
          <w:rFonts w:ascii="Arial" w:eastAsia="Arial" w:hAnsi="Arial" w:cs="Arial"/>
          <w:color w:val="000000"/>
        </w:rPr>
      </w:pPr>
      <w:r>
        <w:rPr>
          <w:rFonts w:ascii="Arial" w:eastAsia="Arial" w:hAnsi="Arial" w:cs="Arial"/>
          <w:color w:val="000000"/>
        </w:rPr>
        <w:t>6.2.4</w:t>
      </w:r>
      <w:r>
        <w:rPr>
          <w:rFonts w:ascii="Arial" w:eastAsia="Arial" w:hAnsi="Arial" w:cs="Arial"/>
          <w:color w:val="000000"/>
        </w:rPr>
        <w:tab/>
      </w:r>
      <w:r w:rsidR="00DE4308" w:rsidRPr="00DE4308">
        <w:rPr>
          <w:rFonts w:ascii="Arial" w:eastAsia="Arial" w:hAnsi="Arial" w:cs="Arial"/>
          <w:color w:val="000000"/>
          <w:highlight w:val="green"/>
        </w:rPr>
        <w:t>La prohibición del uso indebido se asegura mediante la clasificación de riesgo previa y</w:t>
      </w:r>
      <w:r w:rsidR="00DE4308" w:rsidRPr="00DE4308">
        <w:rPr>
          <w:rFonts w:ascii="Arial" w:eastAsia="Arial" w:hAnsi="Arial" w:cs="Arial"/>
          <w:color w:val="000000"/>
          <w:highlight w:val="green"/>
        </w:rPr>
        <w:t xml:space="preserve"> </w:t>
      </w:r>
      <w:r w:rsidR="00DE4308" w:rsidRPr="00DE4308">
        <w:rPr>
          <w:rFonts w:ascii="Arial" w:eastAsia="Arial" w:hAnsi="Arial" w:cs="Arial"/>
          <w:color w:val="000000"/>
          <w:highlight w:val="green"/>
        </w:rPr>
        <w:t>obligatoria, el pronunciamiento no favorable de la Comisión de Gobierno de IA conforme al</w:t>
      </w:r>
      <w:r w:rsidR="00DE4308" w:rsidRPr="00DE4308">
        <w:rPr>
          <w:rFonts w:ascii="Arial" w:eastAsia="Arial" w:hAnsi="Arial" w:cs="Arial"/>
          <w:color w:val="000000"/>
          <w:highlight w:val="green"/>
        </w:rPr>
        <w:t xml:space="preserve"> </w:t>
      </w:r>
      <w:r w:rsidR="00DE4308" w:rsidRPr="00DE4308">
        <w:rPr>
          <w:rFonts w:ascii="Arial" w:eastAsia="Arial" w:hAnsi="Arial" w:cs="Arial"/>
          <w:color w:val="000000"/>
          <w:highlight w:val="green"/>
        </w:rPr>
        <w:t>numeral 6.15.1 y el registro obligatorio en el Inventario Institucional de SBIA.</w:t>
      </w:r>
      <w:r w:rsidR="00DE4308">
        <w:rPr>
          <w:rFonts w:ascii="Arial" w:eastAsia="Arial" w:hAnsi="Arial" w:cs="Arial"/>
          <w:color w:val="000000"/>
        </w:rPr>
        <w:t xml:space="preserve"> </w:t>
      </w:r>
      <w:r>
        <w:rPr>
          <w:rFonts w:ascii="Arial" w:eastAsia="Arial" w:hAnsi="Arial" w:cs="Arial"/>
          <w:color w:val="000000"/>
          <w:highlight w:val="cyan"/>
        </w:rPr>
        <w:t>Ante la duda sobre si un SBIA constituye uso indebido, la SUNAT puede formular a la SGTD la consulta prevista en el artículo 23 del RLIA.</w:t>
      </w:r>
    </w:p>
    <w:p w14:paraId="337A8406" w14:textId="6F8C22EB" w:rsidR="00736724" w:rsidRDefault="00736724" w:rsidP="00A84BB6">
      <w:pPr>
        <w:spacing w:after="60" w:line="276" w:lineRule="auto"/>
        <w:ind w:left="1276" w:hanging="567"/>
        <w:jc w:val="both"/>
        <w:rPr>
          <w:rFonts w:ascii="Arial" w:eastAsia="Arial" w:hAnsi="Arial" w:cs="Arial"/>
          <w:color w:val="000000"/>
        </w:rPr>
      </w:pPr>
      <w:r w:rsidRPr="00736724">
        <w:rPr>
          <w:rFonts w:ascii="Arial" w:eastAsia="Arial" w:hAnsi="Arial" w:cs="Arial"/>
          <w:color w:val="000000"/>
          <w:highlight w:val="green"/>
        </w:rPr>
        <w:t>6.2.</w:t>
      </w:r>
      <w:r w:rsidRPr="00736724">
        <w:rPr>
          <w:rFonts w:ascii="Arial" w:eastAsia="Arial" w:hAnsi="Arial" w:cs="Arial"/>
          <w:color w:val="000000"/>
          <w:highlight w:val="green"/>
        </w:rPr>
        <w:t>5</w:t>
      </w:r>
      <w:r w:rsidRPr="00A84BB6">
        <w:rPr>
          <w:rFonts w:ascii="Arial" w:eastAsia="Arial" w:hAnsi="Arial" w:cs="Arial"/>
          <w:color w:val="000000"/>
          <w:highlight w:val="green"/>
        </w:rPr>
        <w:tab/>
        <w:t>Los controles aplicables a un SBIA se determinan a partir de su clasificación de riesgo,</w:t>
      </w:r>
      <w:r w:rsidR="00A84BB6" w:rsidRPr="00A84BB6">
        <w:rPr>
          <w:highlight w:val="green"/>
        </w:rPr>
        <w:t xml:space="preserve"> </w:t>
      </w:r>
      <w:r w:rsidR="00A84BB6" w:rsidRPr="00A84BB6">
        <w:rPr>
          <w:rFonts w:ascii="Arial" w:eastAsia="Arial" w:hAnsi="Arial" w:cs="Arial"/>
          <w:color w:val="000000"/>
          <w:highlight w:val="green"/>
        </w:rPr>
        <w:t>conforme a los numerales 6.6, 6.9 y 6.10: no se proponen ni se negocian. El propietario del</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caso de uso, con la asistencia técnica de la Comisión de Gobierno de IA, define cómo se</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implementan en el SBIA. La Comisión verifica su implementación en el hito de aprobación</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previo al despliegue.</w:t>
      </w:r>
    </w:p>
    <w:p w14:paraId="1C5BB831" w14:textId="77777777" w:rsidR="00863A18" w:rsidRPr="00923C59" w:rsidRDefault="00863A18" w:rsidP="00B23382">
      <w:pPr>
        <w:pStyle w:val="SubtituloDONI"/>
        <w:spacing w:line="276" w:lineRule="auto"/>
        <w:ind w:left="851"/>
      </w:pPr>
      <w:r>
        <w:t>6.3</w:t>
      </w:r>
      <w:r>
        <w:tab/>
        <w:t>Del Inventario Institucional de SBIA</w:t>
      </w:r>
    </w:p>
    <w:p w14:paraId="05B5E59A"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r>
      <w:r>
        <w:rPr>
          <w:rFonts w:ascii="Arial" w:eastAsia="Arial" w:hAnsi="Arial" w:cs="Arial"/>
          <w:color w:val="000000"/>
        </w:rPr>
        <w:tab/>
        <w:t>La Comisión de Gobierno de IA administra el Inventario Institucional de SBIA, donde registra todos los SBIA de la SUNAT. El registro es obligatorio y previo al inicio del desarrollo o adquisición. El Anexo N.° 1 define los campos mínimos.</w:t>
      </w:r>
    </w:p>
    <w:p w14:paraId="2E360875"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r>
      <w:r>
        <w:rPr>
          <w:rFonts w:ascii="Arial" w:eastAsia="Arial" w:hAnsi="Arial" w:cs="Arial"/>
          <w:color w:val="000000"/>
        </w:rPr>
        <w:tab/>
        <w:t>La Comisión de Gobierno de IA actualiza el Inventario permanentemente y lo revisa integralmente al menos una vez al año.</w:t>
      </w:r>
    </w:p>
    <w:p w14:paraId="69EF3D3A" w14:textId="77777777" w:rsidR="00863A18" w:rsidRPr="00923C59" w:rsidRDefault="00863A18" w:rsidP="00B23382">
      <w:pPr>
        <w:pStyle w:val="SubtituloDONI"/>
        <w:spacing w:line="276" w:lineRule="auto"/>
        <w:ind w:left="851"/>
      </w:pPr>
      <w:r>
        <w:t>6.4</w:t>
      </w:r>
      <w:r>
        <w:tab/>
        <w:t>De la evaluación de impacto algorítmico</w:t>
      </w:r>
    </w:p>
    <w:p w14:paraId="1A0CDA4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6.4.1</w:t>
      </w:r>
      <w:r>
        <w:rPr>
          <w:rFonts w:ascii="Arial" w:eastAsia="Arial" w:hAnsi="Arial" w:cs="Arial"/>
          <w:color w:val="000000"/>
          <w:highlight w:val="yellow"/>
        </w:rPr>
        <w:tab/>
        <w:t>Todo SBIA de riesgo alto debe contar con una EIA aprobada previamente a su desarrollo o implementación</w:t>
      </w:r>
      <w:r>
        <w:rPr>
          <w:rStyle w:val="Refdenotaalpie"/>
        </w:rPr>
        <w:footnoteReference w:id="1"/>
      </w:r>
      <w:r>
        <w:rPr>
          <w:rFonts w:ascii="Arial" w:eastAsia="Arial" w:hAnsi="Arial" w:cs="Arial"/>
          <w:color w:val="000000"/>
          <w:highlight w:val="yellow"/>
        </w:rPr>
        <w:t xml:space="preserve">.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7A1E8119"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cyan"/>
        </w:rPr>
        <w:t>6.4.2</w:t>
      </w:r>
      <w:r>
        <w:rPr>
          <w:rFonts w:ascii="Arial" w:hAnsi="Arial" w:cs="Arial"/>
          <w:color w:val="000000"/>
          <w:highlight w:val="cyan"/>
        </w:rPr>
        <w:tab/>
        <w:t>El propietario del caso de uso elabora la EIA con la participación del equipo técnico del SBIA, conformado por las gerencias de la INSI involucradas en su desarrollo o adquisición. La EIA incorpora los aspectos de negocio (en particular el impacto en el administrado) y los aspectos técnicos. La Comisión de Gobierno de IA, la OII y la INALI la revisan.</w:t>
      </w:r>
    </w:p>
    <w:p w14:paraId="7F4B9BD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6.4.3</w:t>
      </w:r>
      <w:r>
        <w:rPr>
          <w:rFonts w:ascii="Arial" w:eastAsia="Arial" w:hAnsi="Arial" w:cs="Arial"/>
          <w:color w:val="000000"/>
        </w:rPr>
        <w:tab/>
        <w:t>La Comisión de Gobierno de IA coordina la actualización de la EIA cuando se produzcan cambios significativos en el SBIA, datos o contexto de aplicación.</w:t>
      </w:r>
    </w:p>
    <w:p w14:paraId="12A62F0C"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r>
      <w:r>
        <w:rPr>
          <w:rFonts w:ascii="Arial" w:eastAsia="Arial" w:hAnsi="Arial" w:cs="Arial"/>
          <w:color w:val="000000"/>
          <w:highlight w:val="yellow"/>
        </w:rPr>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2"/>
      </w:r>
      <w:r>
        <w:rPr>
          <w:rFonts w:ascii="Arial" w:eastAsia="Arial" w:hAnsi="Arial" w:cs="Arial"/>
          <w:color w:val="000000"/>
          <w:highlight w:val="yellow"/>
        </w:rPr>
        <w:t>.</w:t>
      </w:r>
    </w:p>
    <w:p w14:paraId="0C678BCC"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lastRenderedPageBreak/>
        <w:t>Del diseño, la operación y la seguridad de los SBIA</w:t>
      </w:r>
    </w:p>
    <w:p w14:paraId="7B6AB991" w14:textId="77777777" w:rsidR="00E67A73" w:rsidRDefault="00000000">
      <w:pPr>
        <w:pStyle w:val="SubtituloDONI"/>
        <w:spacing w:line="276" w:lineRule="auto"/>
        <w:ind w:left="851"/>
      </w:pPr>
      <w:r>
        <w:rPr>
          <w:highlight w:val="yellow"/>
        </w:rPr>
        <w:t>6.5</w:t>
      </w:r>
      <w:r>
        <w:rPr>
          <w:highlight w:val="yellow"/>
        </w:rPr>
        <w:tab/>
        <w:t>De la arquitectura y el software de los SBIA</w:t>
      </w:r>
    </w:p>
    <w:p w14:paraId="485DF32D" w14:textId="59A52200" w:rsidR="00E67A73" w:rsidRDefault="00000000">
      <w:pPr>
        <w:spacing w:after="60" w:line="276" w:lineRule="auto"/>
        <w:ind w:left="1276" w:hanging="720"/>
        <w:jc w:val="both"/>
        <w:rPr>
          <w:rFonts w:ascii="Arial" w:eastAsia="Arial" w:hAnsi="Arial" w:cs="Arial"/>
          <w:color w:val="000000"/>
        </w:rPr>
      </w:pPr>
      <w:r w:rsidRPr="00553A03">
        <w:rPr>
          <w:rFonts w:ascii="Arial" w:eastAsia="Arial" w:hAnsi="Arial" w:cs="Arial"/>
          <w:color w:val="000000"/>
          <w:highlight w:val="green"/>
        </w:rPr>
        <w:t>6.5.1</w:t>
      </w:r>
      <w:r w:rsidRPr="00553A03">
        <w:rPr>
          <w:rFonts w:ascii="Arial" w:eastAsia="Arial" w:hAnsi="Arial" w:cs="Arial"/>
          <w:color w:val="000000"/>
          <w:highlight w:val="green"/>
        </w:rPr>
        <w:tab/>
      </w:r>
      <w:r w:rsidR="00553A03" w:rsidRPr="00553A03">
        <w:rPr>
          <w:rFonts w:ascii="Arial" w:eastAsia="Arial" w:hAnsi="Arial" w:cs="Arial"/>
          <w:color w:val="000000"/>
          <w:highlight w:val="green"/>
        </w:rPr>
        <w:t>La Gerencia de Arquitectura conduce el diseño de la arquitectura de los SBIA, conforme al literal a) del artículo 130 del ROF. La División de Arquitectura de Información y de Aplicaciones diseña la arquitectura de información y de aplicaciones de los SBIA, conforme a los literales a) y c) del artículo 132 del ROF; la División de Arquitectura Tecnológica diseña la arquitectura de su infraestructura tecnológica, conforme a los literales a) y c) del artículo 134 del ROF. La arquitectura de los SBIA promueve soluciones modulares y escalables y el uso de estándares abiertos que eviten la dependencia tecnológica de un único proveedor.</w:t>
      </w:r>
    </w:p>
    <w:p w14:paraId="5746D6CB" w14:textId="50D4E29B" w:rsidR="00E67A73" w:rsidRDefault="00000000">
      <w:pPr>
        <w:spacing w:after="60" w:line="276" w:lineRule="auto"/>
        <w:ind w:left="1276" w:hanging="720"/>
        <w:jc w:val="both"/>
        <w:rPr>
          <w:rFonts w:ascii="Arial" w:eastAsia="Arial" w:hAnsi="Arial" w:cs="Arial"/>
          <w:color w:val="000000"/>
        </w:rPr>
      </w:pPr>
      <w:r w:rsidRPr="0045319E">
        <w:rPr>
          <w:rFonts w:ascii="Arial" w:eastAsia="Arial" w:hAnsi="Arial" w:cs="Arial"/>
          <w:color w:val="000000"/>
          <w:highlight w:val="green"/>
        </w:rPr>
        <w:t>6.5.2</w:t>
      </w:r>
      <w:r w:rsidRPr="0045319E">
        <w:rPr>
          <w:rFonts w:ascii="Arial" w:eastAsia="Arial" w:hAnsi="Arial" w:cs="Arial"/>
          <w:color w:val="000000"/>
          <w:highlight w:val="green"/>
        </w:rPr>
        <w:tab/>
      </w:r>
      <w:r w:rsidR="0045319E" w:rsidRPr="0045319E">
        <w:rPr>
          <w:rFonts w:ascii="Arial" w:eastAsia="Arial" w:hAnsi="Arial" w:cs="Arial"/>
          <w:color w:val="000000"/>
          <w:highlight w:val="green"/>
        </w:rPr>
        <w:t>El desarrollo, la adquisición y la adecuación del software de los SBIA se sujetan a las disposiciones y a los estándares técnicos sobre procesos del ciclo de vida del software aplicables a las entidades de la Administración Pública, conforme a la normatividad vigente.</w:t>
      </w:r>
      <w:r w:rsidRPr="0045319E">
        <w:rPr>
          <w:rStyle w:val="Refdenotaalpie"/>
          <w:highlight w:val="green"/>
        </w:rPr>
        <w:footnoteReference w:id="3"/>
      </w:r>
    </w:p>
    <w:p w14:paraId="7407794D" w14:textId="7928FBA5" w:rsidR="00EE0817" w:rsidRDefault="00EE0817" w:rsidP="005C3A70">
      <w:pPr>
        <w:spacing w:after="60" w:line="276" w:lineRule="auto"/>
        <w:ind w:left="1276" w:hanging="720"/>
        <w:jc w:val="both"/>
        <w:rPr>
          <w:rFonts w:ascii="Arial" w:eastAsia="Arial" w:hAnsi="Arial" w:cs="Arial"/>
          <w:color w:val="000000"/>
        </w:rPr>
      </w:pPr>
      <w:r w:rsidRPr="00EE0817">
        <w:rPr>
          <w:rFonts w:ascii="Arial" w:eastAsia="Arial" w:hAnsi="Arial" w:cs="Arial"/>
          <w:color w:val="000000"/>
          <w:highlight w:val="green"/>
        </w:rPr>
        <w:t>6.5.3</w:t>
      </w:r>
      <w:r w:rsidRPr="00EE0817">
        <w:rPr>
          <w:rFonts w:ascii="Arial" w:eastAsia="Arial" w:hAnsi="Arial" w:cs="Arial"/>
          <w:color w:val="000000"/>
          <w:highlight w:val="green"/>
        </w:rPr>
        <w:tab/>
        <w:t xml:space="preserve">El diseño de la arquitectura de los SBIA observa los Principios de Arquitectura (AAT.PRAQ.01) y los Lineamientos de Arquitectura (LAT.LIAQ.01) de la SUNAT, en sus versiones vigentes, en lo que corresponda a su naturaleza. La GA adecua dichos instrumentos y emite los estándares, modelos de referencia, patrones y demás documentos técnicos de arquitectura necesarios para incorporar los requisitos propios de los SBIA (modelos, conjuntos de datos, componentes generativos y </w:t>
      </w:r>
      <w:r w:rsidRPr="00EE0817">
        <w:rPr>
          <w:rFonts w:ascii="Arial" w:eastAsia="Arial" w:hAnsi="Arial" w:cs="Arial"/>
          <w:color w:val="000000"/>
          <w:highlight w:val="green"/>
        </w:rPr>
        <w:t>agenticos</w:t>
      </w:r>
      <w:r w:rsidRPr="00EE0817">
        <w:rPr>
          <w:rFonts w:ascii="Arial" w:eastAsia="Arial" w:hAnsi="Arial" w:cs="Arial"/>
          <w:color w:val="000000"/>
          <w:highlight w:val="green"/>
        </w:rPr>
        <w:t>, e infraestructura especializada), en el ámbito de su competencia y conforme a los literales a) y c) del artículo 130 del ROF. Los que establezcan obligaciones exigibles a las unidades de organización se aprueban como documento normativo institucional conforme al numeral 7.6 de la presente directiva.</w:t>
      </w:r>
    </w:p>
    <w:p w14:paraId="003F2D17" w14:textId="7A12D318" w:rsidR="005C3A70" w:rsidRDefault="005C3A70" w:rsidP="005C3A70">
      <w:pPr>
        <w:spacing w:after="60" w:line="276" w:lineRule="auto"/>
        <w:ind w:left="1276" w:hanging="720"/>
        <w:jc w:val="both"/>
        <w:rPr>
          <w:rFonts w:ascii="Arial" w:eastAsia="Arial" w:hAnsi="Arial" w:cs="Arial"/>
          <w:color w:val="000000"/>
          <w:highlight w:val="lightGray"/>
        </w:rPr>
      </w:pPr>
      <w:r w:rsidRPr="00553A03">
        <w:rPr>
          <w:rFonts w:ascii="Arial" w:eastAsia="Arial" w:hAnsi="Arial" w:cs="Arial"/>
          <w:color w:val="000000"/>
          <w:highlight w:val="green"/>
        </w:rPr>
        <w:t xml:space="preserve">6.5.4   </w:t>
      </w:r>
      <w:r w:rsidR="00553A03" w:rsidRPr="00553A03">
        <w:rPr>
          <w:rFonts w:ascii="Arial" w:eastAsia="Arial" w:hAnsi="Arial" w:cs="Arial"/>
          <w:color w:val="000000"/>
          <w:highlight w:val="green"/>
        </w:rPr>
        <w:t>Todo SBIA cuenta con la aprobación del diseño de su arquitectura de solución, previa al inicio del desarrollo, la adquisición o el entrenamiento, conforme a la etapa 3 del numeral 6.1.1. Dicha aprobación corresponde a la División de Arquitectura de Información y de Aplicaciones y a la División de Arquitectura Tecnológica, cada una en el ámbito de su competencia conforme al literal a) de los artículos 132 y 134 del ROF, bajo la conducción de la Gerencia de Arquitectura</w:t>
      </w:r>
      <w:r w:rsidRPr="00553A03">
        <w:rPr>
          <w:rFonts w:ascii="Arial" w:eastAsia="Arial" w:hAnsi="Arial" w:cs="Arial"/>
          <w:color w:val="000000"/>
          <w:highlight w:val="green"/>
        </w:rPr>
        <w:t xml:space="preserve">. </w:t>
      </w:r>
      <w:r w:rsidRPr="005C3A70">
        <w:rPr>
          <w:rFonts w:ascii="Arial" w:eastAsia="Arial" w:hAnsi="Arial" w:cs="Arial"/>
          <w:color w:val="000000"/>
          <w:highlight w:val="lightGray"/>
        </w:rPr>
        <w:t>Los requisitos derivados del nivel de riesgo aprobado, incluidos los mecanismos de supervisión humana, explicabilidad y trazabilidad, se incorporan como requisitos no funcionales de la solución.</w:t>
      </w:r>
    </w:p>
    <w:p w14:paraId="7887CA88" w14:textId="093D0210" w:rsidR="003173B4" w:rsidRPr="003173B4" w:rsidRDefault="003173B4" w:rsidP="003173B4">
      <w:pPr>
        <w:spacing w:after="60" w:line="276" w:lineRule="auto"/>
        <w:ind w:left="1276" w:hanging="720"/>
        <w:jc w:val="both"/>
        <w:rPr>
          <w:rFonts w:ascii="Arial" w:eastAsia="Arial" w:hAnsi="Arial" w:cs="Arial"/>
          <w:color w:val="000000"/>
          <w:highlight w:val="green"/>
        </w:rPr>
      </w:pPr>
      <w:r w:rsidRPr="003173B4">
        <w:rPr>
          <w:rFonts w:ascii="Arial" w:eastAsia="Arial" w:hAnsi="Arial" w:cs="Arial"/>
          <w:color w:val="000000"/>
          <w:highlight w:val="green"/>
        </w:rPr>
        <w:t>6.5.5</w:t>
      </w:r>
      <w:r w:rsidRPr="003173B4">
        <w:rPr>
          <w:rFonts w:ascii="Arial" w:eastAsia="Arial" w:hAnsi="Arial" w:cs="Arial"/>
          <w:color w:val="000000"/>
          <w:highlight w:val="green"/>
        </w:rPr>
        <w:tab/>
        <w:t xml:space="preserve">Los SBIA que ejecuten acciones sobre sistemas, datos o procesos con algún grado de autonomía incorporan mecanismos de autorización, restricción y registro de dichas acciones, proporcionales al nivel de riesgo aprobado y al grado de autonomía asignado. </w:t>
      </w:r>
      <w:r w:rsidR="00553A03" w:rsidRPr="00553A03">
        <w:rPr>
          <w:rFonts w:ascii="Arial" w:eastAsia="Arial" w:hAnsi="Arial" w:cs="Arial"/>
          <w:color w:val="000000"/>
          <w:highlight w:val="green"/>
        </w:rPr>
        <w:t>El propietario del caso de uso define el alcance de las acciones autorizadas; la División de Arquitectura competente según la materia verifica su implementación antes del despliegue</w:t>
      </w:r>
      <w:r w:rsidR="00553A03">
        <w:rPr>
          <w:rFonts w:ascii="Arial" w:eastAsia="Arial" w:hAnsi="Arial" w:cs="Arial"/>
          <w:color w:val="000000"/>
          <w:highlight w:val="green"/>
        </w:rPr>
        <w:t>.</w:t>
      </w:r>
    </w:p>
    <w:p w14:paraId="0C71C9C2" w14:textId="77777777" w:rsidR="003173B4" w:rsidRPr="003173B4" w:rsidRDefault="003173B4" w:rsidP="003173B4">
      <w:pPr>
        <w:spacing w:after="60" w:line="276" w:lineRule="auto"/>
        <w:ind w:left="1276"/>
        <w:jc w:val="both"/>
        <w:rPr>
          <w:rFonts w:ascii="Arial" w:eastAsia="Arial" w:hAnsi="Arial" w:cs="Arial"/>
          <w:color w:val="000000"/>
          <w:highlight w:val="green"/>
        </w:rPr>
      </w:pPr>
      <w:r w:rsidRPr="003173B4">
        <w:rPr>
          <w:rFonts w:ascii="Arial" w:eastAsia="Arial" w:hAnsi="Arial" w:cs="Arial"/>
          <w:color w:val="000000"/>
          <w:highlight w:val="green"/>
        </w:rPr>
        <w:lastRenderedPageBreak/>
        <w:t>El SBIA o el componente que ejecute las acciones a que se refiere el párrafo anterior cuenta con una identidad digital diferenciada, administrada conforme a los mecanismos institucionales de identidad y acceso. Cuando ejecute acciones en representación de un usuario, el registro permite identificar al usuario que delegó, al componente que actuó, los permisos empleados y las acciones ejecutadas. Este registro es exigible en particular cuando las acciones recaigan sobre información sujeta a reserva tributaria o sobre datos personales.</w:t>
      </w:r>
    </w:p>
    <w:p w14:paraId="133A1185" w14:textId="77777777" w:rsidR="003173B4" w:rsidRDefault="003173B4" w:rsidP="003173B4">
      <w:pPr>
        <w:spacing w:after="60" w:line="276" w:lineRule="auto"/>
        <w:ind w:left="1276"/>
        <w:jc w:val="both"/>
        <w:rPr>
          <w:rFonts w:ascii="Arial" w:eastAsia="Arial" w:hAnsi="Arial" w:cs="Arial"/>
          <w:color w:val="000000"/>
        </w:rPr>
      </w:pPr>
      <w:r w:rsidRPr="003173B4">
        <w:rPr>
          <w:rFonts w:ascii="Arial" w:eastAsia="Arial" w:hAnsi="Arial" w:cs="Arial"/>
          <w:color w:val="000000"/>
          <w:highlight w:val="green"/>
        </w:rPr>
        <w:t>El componente de IA no modifica por sí mismo los controles de seguridad, las políticas institucionales ni los mecanismos de gobierno previstos en la presente directiva.</w:t>
      </w:r>
    </w:p>
    <w:p w14:paraId="3ADA6EC5" w14:textId="7B840829" w:rsidR="005C3A70" w:rsidRPr="005C3A70" w:rsidRDefault="005C3A70" w:rsidP="003173B4">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6.5.6 Los SBIA generativos que utilicen información institucional incorporan mecanismos que vinculen los resultados generados con sus fuentes de información autorizadas y vigentes. Esta trazabilidad sustenta la explicabilidad exigida en el numeral 6.9.3.</w:t>
      </w:r>
    </w:p>
    <w:p w14:paraId="7F04C0CC" w14:textId="3FCC76FA" w:rsidR="005C3A70" w:rsidRDefault="005C3A70" w:rsidP="005C3A70">
      <w:pPr>
        <w:spacing w:after="60" w:line="276" w:lineRule="auto"/>
        <w:ind w:left="1276" w:hanging="720"/>
        <w:jc w:val="both"/>
        <w:rPr>
          <w:rFonts w:ascii="Arial" w:eastAsia="Arial" w:hAnsi="Arial" w:cs="Arial"/>
          <w:color w:val="000000"/>
        </w:rPr>
      </w:pPr>
      <w:r w:rsidRPr="005C3A70">
        <w:rPr>
          <w:rFonts w:ascii="Arial" w:eastAsia="Arial" w:hAnsi="Arial" w:cs="Arial"/>
          <w:color w:val="000000"/>
          <w:highlight w:val="lightGray"/>
        </w:rPr>
        <w:t xml:space="preserve">6.5.7   La publicación del código fuente de los SBIA financiados con fondos públicos, con licencia libre o abierta en la Plataforma Nacional de Software Público Peruano (PNSSP), se sujeta a la determinación previa de su publicabilidad. Dicha determinación verifica que el código no revele información sujeta a reserva tributaria conforme al artículo 85 del TUO del Código Tributario, ni reglas de detección de riesgo cuya divulgación comprometa la función de control. La GA, con opinión de la INALI y de la Oficina de Seguridad Informática, determina la publicabilidad antes de cada liberación mayor; la GDS ejecuta la publicación cuando corresponda. </w:t>
      </w:r>
    </w:p>
    <w:p w14:paraId="1268A681" w14:textId="4236F59F" w:rsidR="003173B4" w:rsidRDefault="003173B4" w:rsidP="005C3A70">
      <w:pPr>
        <w:spacing w:after="60" w:line="276" w:lineRule="auto"/>
        <w:ind w:left="1276" w:hanging="720"/>
        <w:jc w:val="both"/>
        <w:rPr>
          <w:rFonts w:ascii="Arial" w:eastAsia="Arial" w:hAnsi="Arial" w:cs="Arial"/>
          <w:color w:val="000000"/>
        </w:rPr>
      </w:pPr>
      <w:r w:rsidRPr="003173B4">
        <w:rPr>
          <w:rFonts w:ascii="Arial" w:eastAsia="Arial" w:hAnsi="Arial" w:cs="Arial"/>
          <w:color w:val="000000"/>
          <w:highlight w:val="green"/>
        </w:rPr>
        <w:t xml:space="preserve">6.5.8 Los SBIA separan las funciones basadas en inferencia, generación o razonamiento probabilístico de aquellas que requieren un resultado determinístico. Constituyen funciones determinísticas, entre otras, los cálculos que determinan obligaciones o derechos, el cómputo de plazos, la aplicación de reglas normativas y de negocio, las validaciones de cumplimiento normativo y la ejecución de transacciones sobre los sistemas institucionales. El componente de IA puede interpretar, clasificar, recomendar u orquestar dichas funciones; su ejecución corresponde a los servicios, motores de reglas o componentes institucionales diseñados para tal fin. </w:t>
      </w:r>
      <w:r w:rsidR="007216B6" w:rsidRPr="007216B6">
        <w:rPr>
          <w:rFonts w:ascii="Arial" w:eastAsia="Arial" w:hAnsi="Arial" w:cs="Arial"/>
          <w:color w:val="000000"/>
          <w:highlight w:val="green"/>
        </w:rPr>
        <w:t>Esta separación se sustenta en la arquitectura de solución aprobada conforme al numeral 6.5.4, y sus criterios técnicos se desarrollan conforme al numeral 6.5.3.</w:t>
      </w:r>
    </w:p>
    <w:p w14:paraId="73F165C2" w14:textId="77777777" w:rsidR="00553A03" w:rsidRDefault="00553A03" w:rsidP="005C3A70">
      <w:pPr>
        <w:spacing w:after="60" w:line="276" w:lineRule="auto"/>
        <w:ind w:left="1276" w:hanging="720"/>
        <w:jc w:val="both"/>
        <w:rPr>
          <w:rFonts w:ascii="Arial" w:eastAsia="Arial" w:hAnsi="Arial" w:cs="Arial"/>
          <w:color w:val="000000"/>
        </w:rPr>
      </w:pPr>
    </w:p>
    <w:p w14:paraId="53AB1498" w14:textId="77777777" w:rsidR="00863A18" w:rsidRDefault="00863A18" w:rsidP="00B23382">
      <w:pPr>
        <w:pStyle w:val="SubtituloDONI"/>
        <w:spacing w:line="276" w:lineRule="auto"/>
        <w:ind w:left="851"/>
      </w:pPr>
      <w:r>
        <w:t>6.6</w:t>
      </w:r>
      <w:r>
        <w:tab/>
        <w:t>De la supervisión humana</w:t>
      </w:r>
    </w:p>
    <w:p w14:paraId="6541E5CE"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6.6.1</w:t>
      </w:r>
      <w:r>
        <w:rPr>
          <w:rFonts w:ascii="Arial" w:eastAsia="Arial" w:hAnsi="Arial" w:cs="Arial"/>
          <w:color w:val="000000"/>
          <w:highlight w:val="yellow"/>
        </w:rPr>
        <w:tab/>
        <w:t>Todo SBIA cuenta con un mecanismo de supervisión humana proporcional a su nivel de riesgo. En los SBIA de riesgo alto que intervengan en decisiones con impacto significativo, la supervisión humana es obligatoria; su extensión a los demás SBIA de riesgo alto y a los de riesgo aceptable es una decisión institucional. La correspondencia es la siguiente:</w:t>
      </w:r>
    </w:p>
    <w:p w14:paraId="2C1A00D4" w14:textId="77777777" w:rsidR="00863A18" w:rsidRPr="00923C59" w:rsidRDefault="00863A18">
      <w:pPr>
        <w:pStyle w:val="Prrafodelista"/>
        <w:numPr>
          <w:ilvl w:val="0"/>
          <w:numId w:val="3"/>
        </w:numPr>
        <w:spacing w:after="40" w:line="276" w:lineRule="auto"/>
        <w:ind w:left="1701"/>
        <w:rPr>
          <w:b w:val="0"/>
          <w:bCs w:val="0"/>
          <w:color w:val="000000"/>
        </w:rPr>
      </w:pPr>
      <w:r>
        <w:rPr>
          <w:b w:val="0"/>
          <w:bCs w:val="0"/>
          <w:color w:val="000000"/>
        </w:rPr>
        <w:t>Human-</w:t>
      </w:r>
      <w:proofErr w:type="spellStart"/>
      <w:r>
        <w:rPr>
          <w:b w:val="0"/>
          <w:bCs w:val="0"/>
          <w:color w:val="000000"/>
        </w:rPr>
        <w:t>in-the-loop</w:t>
      </w:r>
      <w:proofErr w:type="spellEnd"/>
      <w:r>
        <w:rPr>
          <w:b w:val="0"/>
          <w:bCs w:val="0"/>
          <w:color w:val="000000"/>
        </w:rPr>
        <w:t xml:space="preserve"> (obligatorio para riesgo alto): Un supervisor humano valida cada decisión o resultado del SBIA antes de su ejecución o </w:t>
      </w:r>
      <w:r>
        <w:rPr>
          <w:b w:val="0"/>
          <w:bCs w:val="0"/>
          <w:color w:val="000000"/>
        </w:rPr>
        <w:lastRenderedPageBreak/>
        <w:t>comunicación al administrado. Aplica a: selección de contribuyentes para fiscalización, determinación de deuda, clasificación arancelaria.</w:t>
      </w:r>
    </w:p>
    <w:p w14:paraId="6E5F0118" w14:textId="77777777" w:rsidR="00790E37" w:rsidRPr="00790E37" w:rsidRDefault="00790E37">
      <w:pPr>
        <w:pStyle w:val="Prrafodelista"/>
        <w:numPr>
          <w:ilvl w:val="0"/>
          <w:numId w:val="3"/>
        </w:numPr>
        <w:spacing w:after="40" w:line="276" w:lineRule="auto"/>
        <w:ind w:left="1701"/>
        <w:rPr>
          <w:b w:val="0"/>
          <w:bCs w:val="0"/>
          <w:color w:val="000000"/>
          <w:highlight w:val="green"/>
        </w:rPr>
      </w:pPr>
      <w:r w:rsidRPr="00790E37">
        <w:rPr>
          <w:b w:val="0"/>
          <w:bCs w:val="0"/>
          <w:color w:val="000000"/>
          <w:highlight w:val="green"/>
        </w:rPr>
        <w:t>Human-on-the-loop (obligatorio para los SBIA de riesgo aceptable que interactúan directamente con el administrado o cuyo resultado influye en la atención que este recibe): Un supervisor humano monitorea las operaciones del SBIA y puede intervenir ante anomalías, sin validar cada resultado individual. Aplica a: chatbots de atención, asistentes de orientación, preclasificación.</w:t>
      </w:r>
    </w:p>
    <w:p w14:paraId="6BC28EEB" w14:textId="1FE34F1E"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21F1C2C9"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r>
      <w:r>
        <w:rPr>
          <w:rFonts w:ascii="Arial" w:eastAsia="Arial" w:hAnsi="Arial" w:cs="Arial"/>
          <w:color w:val="000000"/>
          <w:highlight w:val="yellow"/>
        </w:rPr>
        <w:tab/>
        <w:t>El propietario del caso de uso, con la asistencia técnica de la Comisión de Gobierno de IA, define el mecanismo específico de supervisión humana del SBIA conforme a la clasificación de riesgo aprobada según el numeral 6.2.2. Dicha definición se documenta en la Ficha de Registro del SBIA (Anexo N.° 1) y en la EIA cuando corresponda, y requiere conformidad de la Comisión de Gobierno de IA previo al despliegue.</w:t>
      </w:r>
    </w:p>
    <w:p w14:paraId="52CA64C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r>
      <w:r>
        <w:rPr>
          <w:rFonts w:ascii="Arial" w:eastAsia="Arial" w:hAnsi="Arial" w:cs="Arial"/>
          <w:color w:val="000000"/>
        </w:rPr>
        <w:tab/>
        <w:t>El propietario del caso de uso garantiza que el personal de supervisión cumple con las siguientes condiciones:</w:t>
      </w:r>
    </w:p>
    <w:p w14:paraId="3988CBE8"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t>Cuenta con las competencias técnicas y funcionales necesarias para evaluar los resultados del SBIA en su ámbito de aplicación.</w:t>
      </w:r>
    </w:p>
    <w:p w14:paraId="5003642A"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4"/>
      </w:r>
      <w:r>
        <w:rPr>
          <w:b w:val="0"/>
          <w:bCs w:val="0"/>
          <w:color w:val="000000"/>
          <w:highlight w:val="yellow"/>
        </w:rPr>
        <w:t>.</w:t>
      </w:r>
    </w:p>
    <w:p w14:paraId="2D2673C7"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37346EF0" w14:textId="77777777" w:rsidR="00863A18" w:rsidRPr="002555BF"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0DEEA526" w14:textId="28214F8E" w:rsidR="002555BF" w:rsidRPr="002555BF" w:rsidRDefault="002555BF">
      <w:pPr>
        <w:pStyle w:val="Prrafodelista"/>
        <w:numPr>
          <w:ilvl w:val="0"/>
          <w:numId w:val="4"/>
        </w:numPr>
        <w:spacing w:after="40" w:line="276" w:lineRule="auto"/>
        <w:ind w:left="1701"/>
        <w:rPr>
          <w:b w:val="0"/>
          <w:bCs w:val="0"/>
          <w:highlight w:val="green"/>
        </w:rPr>
      </w:pPr>
      <w:r w:rsidRPr="002555BF">
        <w:rPr>
          <w:b w:val="0"/>
          <w:bCs w:val="0"/>
          <w:highlight w:val="green"/>
        </w:rPr>
        <w:t>El cumplimiento de estas condiciones es verificado por el propietario del caso de uso como condición previa al despliegue del SBIA y consta en la Ficha de Registro del SBIA (Anexo N.° 1). La capacitación específica sobre el sistema supervisado es provista por el propietario del caso de uso, sin perjuicio de las acciones formativas de alcance institucional previstas en el numeral 6.13.2.</w:t>
      </w:r>
    </w:p>
    <w:p w14:paraId="76603A3D" w14:textId="1F92F900" w:rsidR="00736724"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r>
      <w:r>
        <w:rPr>
          <w:rFonts w:ascii="Arial" w:eastAsia="Arial" w:hAnsi="Arial" w:cs="Arial"/>
          <w:color w:val="000000"/>
        </w:rPr>
        <w:tab/>
        <w:t xml:space="preserve">Todo SBIA, independientemente de su nivel de riesgo, incorpora medidas proporcionales para prevenir, detectar y corregir resultados discriminatorios o sesgados que puedan afectar a los administrados, conforme al principio de equidad e inclusión de la </w:t>
      </w:r>
      <w:r>
        <w:rPr>
          <w:rFonts w:ascii="Arial" w:hAnsi="Arial" w:cs="Arial"/>
          <w:highlight w:val="yellow"/>
        </w:rPr>
        <w:t>Política de Uso Seguro, Responsable y Ético de los SBIA</w:t>
      </w:r>
      <w:r>
        <w:rPr>
          <w:rFonts w:ascii="Arial" w:eastAsia="Arial" w:hAnsi="Arial" w:cs="Arial"/>
          <w:color w:val="000000"/>
        </w:rPr>
        <w:t xml:space="preserve">. </w:t>
      </w:r>
      <w:r w:rsidR="00736724" w:rsidRPr="00736724">
        <w:rPr>
          <w:rFonts w:ascii="Arial" w:eastAsia="Arial" w:hAnsi="Arial" w:cs="Arial"/>
          <w:color w:val="000000"/>
          <w:highlight w:val="green"/>
        </w:rPr>
        <w:t xml:space="preserve">La Comisión de Gobierno de IA verifica la implementación de estas </w:t>
      </w:r>
      <w:r w:rsidR="00736724" w:rsidRPr="00736724">
        <w:rPr>
          <w:rFonts w:ascii="Arial" w:eastAsia="Arial" w:hAnsi="Arial" w:cs="Arial"/>
          <w:color w:val="000000"/>
          <w:highlight w:val="green"/>
        </w:rPr>
        <w:lastRenderedPageBreak/>
        <w:t>medidas en el hito de aprobación previo al despliegue, conforme al numeral 6.1.2.</w:t>
      </w:r>
    </w:p>
    <w:p w14:paraId="57F9E2B1" w14:textId="77777777" w:rsidR="00863A18" w:rsidRPr="00923C59" w:rsidRDefault="00863A18" w:rsidP="00B23382">
      <w:pPr>
        <w:pStyle w:val="SubtituloDONI"/>
        <w:spacing w:line="276" w:lineRule="auto"/>
        <w:ind w:left="851"/>
      </w:pPr>
      <w:r>
        <w:t>6.7</w:t>
      </w:r>
      <w:r>
        <w:tab/>
        <w:t>De la seguridad y privacidad en SBIA</w:t>
      </w:r>
    </w:p>
    <w:p w14:paraId="287A7FFC" w14:textId="6AD7F982" w:rsidR="00836DA1" w:rsidRDefault="00000000">
      <w:pPr>
        <w:spacing w:after="60" w:line="276" w:lineRule="auto"/>
        <w:ind w:left="1276" w:hanging="720"/>
        <w:jc w:val="both"/>
        <w:rPr>
          <w:rFonts w:ascii="Arial" w:eastAsia="Arial" w:hAnsi="Arial" w:cs="Arial"/>
          <w:color w:val="000000"/>
        </w:rPr>
      </w:pPr>
      <w:r w:rsidRPr="008776A6">
        <w:rPr>
          <w:rFonts w:ascii="Arial" w:eastAsia="Arial" w:hAnsi="Arial" w:cs="Arial"/>
          <w:color w:val="000000"/>
          <w:highlight w:val="green"/>
        </w:rPr>
        <w:t>6.7.1</w:t>
      </w:r>
      <w:r w:rsidRPr="008776A6">
        <w:rPr>
          <w:rFonts w:ascii="Arial" w:eastAsia="Arial" w:hAnsi="Arial" w:cs="Arial"/>
          <w:color w:val="000000"/>
          <w:highlight w:val="green"/>
        </w:rPr>
        <w:tab/>
      </w:r>
      <w:r w:rsidR="008776A6" w:rsidRPr="008776A6">
        <w:rPr>
          <w:rFonts w:ascii="Arial" w:eastAsia="Arial" w:hAnsi="Arial" w:cs="Arial"/>
          <w:color w:val="000000"/>
          <w:highlight w:val="green"/>
        </w:rPr>
        <w:t xml:space="preserve">Los SBIA cumplen la Política de Seguridad de la Información (SGSI-PO-01) y el Manual de Políticas del Sistema de Gestión de Seguridad de la Información (SGSI-MA-03) de la SUNAT, en sus versiones vigentes, que </w:t>
      </w:r>
      <w:proofErr w:type="gramStart"/>
      <w:r w:rsidR="008776A6" w:rsidRPr="008776A6">
        <w:rPr>
          <w:rFonts w:ascii="Arial" w:eastAsia="Arial" w:hAnsi="Arial" w:cs="Arial"/>
          <w:color w:val="000000"/>
          <w:highlight w:val="green"/>
        </w:rPr>
        <w:t>son de aplicación</w:t>
      </w:r>
      <w:proofErr w:type="gramEnd"/>
      <w:r w:rsidR="008776A6" w:rsidRPr="008776A6">
        <w:rPr>
          <w:rFonts w:ascii="Arial" w:eastAsia="Arial" w:hAnsi="Arial" w:cs="Arial"/>
          <w:color w:val="000000"/>
          <w:highlight w:val="green"/>
        </w:rPr>
        <w:t xml:space="preserve"> a todo colaborador y tercero vinculado que gestione información de la institución. Cuando un SBIA soporte un proceso comprendido en el alcance del Sistema de Gestión de Seguridad de la Información, le son exigibles además los demás documentos normativos y lineamientos de dicho Sistema.</w:t>
      </w:r>
    </w:p>
    <w:p w14:paraId="7E8CBEA9" w14:textId="0CE98CBE" w:rsidR="000153F0" w:rsidRDefault="00000000">
      <w:pPr>
        <w:spacing w:after="60" w:line="276" w:lineRule="auto"/>
        <w:ind w:left="1276" w:hanging="720"/>
        <w:jc w:val="both"/>
        <w:rPr>
          <w:rFonts w:ascii="Arial" w:eastAsia="Arial" w:hAnsi="Arial" w:cs="Arial"/>
          <w:color w:val="000000"/>
        </w:rPr>
      </w:pPr>
      <w:r w:rsidRPr="00CE10DF">
        <w:rPr>
          <w:rFonts w:ascii="Arial" w:eastAsia="Arial" w:hAnsi="Arial" w:cs="Arial"/>
          <w:color w:val="000000"/>
          <w:highlight w:val="green"/>
        </w:rPr>
        <w:t>6.7.2</w:t>
      </w:r>
      <w:r w:rsidRPr="00CE10DF">
        <w:rPr>
          <w:rFonts w:ascii="Arial" w:eastAsia="Arial" w:hAnsi="Arial" w:cs="Arial"/>
          <w:color w:val="000000"/>
          <w:highlight w:val="green"/>
        </w:rPr>
        <w:tab/>
      </w:r>
      <w:r w:rsidR="00CE10DF" w:rsidRPr="00CE10DF">
        <w:rPr>
          <w:rFonts w:ascii="Arial" w:eastAsia="Arial" w:hAnsi="Arial" w:cs="Arial"/>
          <w:color w:val="000000"/>
          <w:highlight w:val="green"/>
        </w:rPr>
        <w:t>Para los SBIA de riesgo alto y para los SBIA de riesgo aceptable que interactúen directamente con el administrado, incorporen componentes generativos o procesen datos personales o información sujeta a reserva tributaria, se requiere como mínimo:</w:t>
      </w:r>
      <w:r w:rsidR="00CE10DF">
        <w:rPr>
          <w:rFonts w:ascii="Arial" w:eastAsia="Arial" w:hAnsi="Arial" w:cs="Arial"/>
          <w:color w:val="000000"/>
        </w:rPr>
        <w:t xml:space="preserve"> </w:t>
      </w:r>
      <w:r>
        <w:rPr>
          <w:rFonts w:ascii="Arial" w:eastAsia="Arial" w:hAnsi="Arial" w:cs="Arial"/>
          <w:color w:val="000000"/>
          <w:highlight w:val="yellow"/>
        </w:rPr>
        <w:t>controles de contención (guardrails) de entrada y salida; controles de acceso basados en roles (RBAC); registro inmutable de auditoría (logs) de todas las interacciones; evaluación de vulnerabilidades conforme al OWASP Top 10 para aplicaciones LLM;</w:t>
      </w:r>
      <w:r w:rsidRPr="001F1383">
        <w:rPr>
          <w:rFonts w:ascii="Arial" w:eastAsia="Arial" w:hAnsi="Arial" w:cs="Arial"/>
          <w:color w:val="000000"/>
          <w:highlight w:val="green"/>
        </w:rPr>
        <w:t xml:space="preserve"> </w:t>
      </w:r>
      <w:r w:rsidR="001F1383" w:rsidRPr="001F1383">
        <w:rPr>
          <w:rFonts w:ascii="Arial" w:eastAsia="Arial" w:hAnsi="Arial" w:cs="Arial"/>
          <w:color w:val="000000"/>
          <w:highlight w:val="green"/>
        </w:rPr>
        <w:t>red teaming de los SBIA de riesgo alto, previo a su despliegue y con la periodicidad que establezca el documento normativo del numeral 6.7.7</w:t>
      </w:r>
      <w:r>
        <w:rPr>
          <w:rFonts w:ascii="Arial" w:eastAsia="Arial" w:hAnsi="Arial" w:cs="Arial"/>
          <w:color w:val="000000"/>
          <w:highlight w:val="yellow"/>
        </w:rPr>
        <w:t>; y anonimización o seudonimización de datos personales antes del procesamiento. Estos controles constituyen medidas de seguridad digital conforme al artículo 29 del RLIA y se implementan aplicando la NTP-ISO/IEC 27002 y la NTP-ISO 31000 vigentes, complementadas con mejores prácticas de seguridad para IA, conforme a la Sexta Disposición Complementaria Final del RLIA.</w:t>
      </w:r>
    </w:p>
    <w:p w14:paraId="72DBBF1A" w14:textId="77777777" w:rsidR="00236A5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rPr>
        <w:t>6.7.3</w:t>
      </w:r>
      <w:r>
        <w:rPr>
          <w:rFonts w:ascii="Arial" w:eastAsia="Arial" w:hAnsi="Arial" w:cs="Arial"/>
          <w:color w:val="000000"/>
        </w:rPr>
        <w:tab/>
      </w:r>
      <w:r w:rsidR="00236A5F" w:rsidRPr="00236A5F">
        <w:rPr>
          <w:rFonts w:ascii="Arial" w:eastAsia="Arial" w:hAnsi="Arial" w:cs="Arial"/>
          <w:color w:val="000000"/>
          <w:highlight w:val="green"/>
        </w:rPr>
        <w:t>Todo SBIA y toda herramienta de IA que procese información sujeta a reserva tributaria opera exclusivamente en infraestructura bajo control de la SUNAT. En consecuencia, los SBIA y las herramientas de IA desplegados en infraestructura ajena al control de la SUNAT no procesan información sujeta a reserva tributaria, cualquiera sea su registro en el catálogo institucional a que se refiere el numeral 6.11.2.</w:t>
      </w:r>
    </w:p>
    <w:p w14:paraId="2CEA2E32" w14:textId="00C96800"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r>
      <w:r>
        <w:rPr>
          <w:rFonts w:ascii="Arial" w:eastAsia="Arial" w:hAnsi="Arial" w:cs="Arial"/>
          <w:color w:val="000000"/>
          <w:highlight w:val="yellow"/>
        </w:rPr>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w:t>
      </w:r>
      <w:r w:rsidRPr="00975D3B">
        <w:rPr>
          <w:rFonts w:ascii="Arial" w:eastAsia="Arial" w:hAnsi="Arial" w:cs="Arial"/>
          <w:color w:val="000000"/>
          <w:highlight w:val="green"/>
        </w:rPr>
        <w:t xml:space="preserve"> </w:t>
      </w:r>
      <w:r w:rsidR="00CE10DF" w:rsidRPr="00CE10DF">
        <w:rPr>
          <w:rFonts w:ascii="Arial" w:eastAsia="Arial" w:hAnsi="Arial" w:cs="Arial"/>
          <w:color w:val="000000"/>
          <w:highlight w:val="green"/>
        </w:rPr>
        <w:t>Los controles reforzados del numeral 6.7.2 aplican adicionalmente conforme al alcance previsto en dicho numeral.</w:t>
      </w:r>
    </w:p>
    <w:p w14:paraId="2EFB00D1" w14:textId="77777777"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lastRenderedPageBreak/>
        <w:t>6.7.5</w:t>
      </w:r>
      <w:r>
        <w:rPr>
          <w:rFonts w:ascii="Arial" w:eastAsia="Arial" w:hAnsi="Arial" w:cs="Arial"/>
          <w:color w:val="000000"/>
          <w:highlight w:val="cyan"/>
        </w:rPr>
        <w:tab/>
        <w:t>La gestión de los incidentes y de las vulnerabilidades de seguridad de la información asociados a un SBIA se registra y atiende</w:t>
      </w:r>
      <w:r>
        <w:rPr>
          <w:rStyle w:val="Refdenotaalpie"/>
        </w:rPr>
        <w:footnoteReference w:id="5"/>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El propietario del caso de uso y las gerencias competentes de la INSI comunican los incidentes del uso y funcionamiento del SBIA por los canales que dichos procedimientos establecen; la Comisión de Gobierno de IA los consolida y los reporta en el informe trimestral del numeral 6.9.5.</w:t>
      </w:r>
    </w:p>
    <w:p w14:paraId="6E5B24C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r>
      <w:r>
        <w:rPr>
          <w:rFonts w:ascii="Arial" w:eastAsia="Arial" w:hAnsi="Arial" w:cs="Arial"/>
          <w:color w:val="000000"/>
          <w:highlight w:val="yellow"/>
        </w:rPr>
        <w:tab/>
        <w:t>El Oficial de Datos Personales (ODP) asegura que en el desarrollo, la implementación y el uso de los SBIA se realice un tratamiento adecuado de los datos personales</w:t>
      </w:r>
      <w:r>
        <w:rPr>
          <w:rStyle w:val="Refdenotaalpie"/>
        </w:rPr>
        <w:footnoteReference w:id="6"/>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399F7BE7" w14:textId="77777777" w:rsidR="0084436F" w:rsidRDefault="0084436F" w:rsidP="0084436F">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6.7.7</w:t>
      </w:r>
      <w:r>
        <w:rPr>
          <w:rFonts w:ascii="Arial" w:eastAsia="Arial" w:hAnsi="Arial" w:cs="Arial"/>
          <w:color w:val="000000"/>
          <w:highlight w:val="cyan"/>
        </w:rPr>
        <w:tab/>
        <w:t>La Oficina de Seguridad Informática elabora y propone el documento normativo de seguridad informática para SBIA que desarrolla la forma de implementar y verificar los controles del numeral 6.7.2, conforme al artículo 106, literales a) y b), del ROF. En tanto no se apruebe, los SBIA observan los controles mínimos del referido numeral.</w:t>
      </w:r>
    </w:p>
    <w:p w14:paraId="76FB71CA" w14:textId="52B6E102" w:rsidR="003173B4" w:rsidRDefault="003173B4" w:rsidP="0084436F">
      <w:pPr>
        <w:spacing w:after="60" w:line="276" w:lineRule="auto"/>
        <w:ind w:left="1276" w:hanging="720"/>
        <w:jc w:val="both"/>
        <w:rPr>
          <w:rFonts w:ascii="Arial" w:eastAsia="Arial" w:hAnsi="Arial" w:cs="Arial"/>
          <w:color w:val="000000"/>
        </w:rPr>
      </w:pPr>
      <w:r w:rsidRPr="003173B4">
        <w:rPr>
          <w:rFonts w:ascii="Arial" w:eastAsia="Arial" w:hAnsi="Arial" w:cs="Arial"/>
          <w:color w:val="000000"/>
          <w:highlight w:val="green"/>
        </w:rPr>
        <w:t>6.7.8 Los SBIA definen el tratamiento de conservación y eliminación de las instrucciones (</w:t>
      </w:r>
      <w:r w:rsidRPr="003173B4">
        <w:rPr>
          <w:rFonts w:ascii="Arial" w:eastAsia="Arial" w:hAnsi="Arial" w:cs="Arial"/>
          <w:color w:val="000000"/>
          <w:highlight w:val="green"/>
        </w:rPr>
        <w:t>prompt</w:t>
      </w:r>
      <w:r w:rsidRPr="003173B4">
        <w:rPr>
          <w:rFonts w:ascii="Arial" w:eastAsia="Arial" w:hAnsi="Arial" w:cs="Arial"/>
          <w:color w:val="000000"/>
          <w:highlight w:val="green"/>
        </w:rPr>
        <w:t>), respuestas, contextos, representaciones vectoriales (embeddings), registros de interacción y demás información que generen o procesen durante su operación. El plazo de conservación se determina en función del nivel de riesgo del SBIA, del valor probatorio de la información, de su sensibilidad y de los requisitos de auditoría aplicables, y observa las restricciones derivadas de la reserva tributaria conforme al artículo 85 del TUO del Código Tributario y de la normativa sobre protección de datos personales. Los plazos aplicables se establecen en el documento normativo del numeral 6.7.7. El respaldo de dicha información, así como la custodia y disponibilidad de los medios correspondientes, están a cargo de la División de Soporte y Operación de la Infraestructura Tecnológica, conforme al literal b) del artículo 138 del ROF, y observan lo dispuesto en el numeral 6.7.1.</w:t>
      </w:r>
    </w:p>
    <w:p w14:paraId="36612602" w14:textId="77777777" w:rsidR="00931E16" w:rsidRDefault="00931E16" w:rsidP="00931E16">
      <w:pPr>
        <w:pStyle w:val="SubtituloDONI"/>
        <w:spacing w:line="276" w:lineRule="auto"/>
        <w:ind w:left="851"/>
      </w:pPr>
      <w:r>
        <w:rPr>
          <w:highlight w:val="yellow"/>
        </w:rPr>
        <w:t>6.8</w:t>
      </w:r>
      <w:r>
        <w:rPr>
          <w:highlight w:val="yellow"/>
        </w:rPr>
        <w:tab/>
        <w:t>De los datos para los SBIA</w:t>
      </w:r>
    </w:p>
    <w:p w14:paraId="47FBF371"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r>
      <w:r>
        <w:rPr>
          <w:rFonts w:ascii="Arial" w:eastAsia="Arial" w:hAnsi="Arial" w:cs="Arial"/>
          <w:color w:val="000000"/>
          <w:highlight w:val="yellow"/>
        </w:rPr>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7"/>
      </w:r>
      <w:r>
        <w:rPr>
          <w:rFonts w:ascii="Arial" w:eastAsia="Arial" w:hAnsi="Arial" w:cs="Arial"/>
          <w:color w:val="000000"/>
          <w:highlight w:val="yellow"/>
        </w:rPr>
        <w:t>, y en concordancia con la ENGD.</w:t>
      </w:r>
    </w:p>
    <w:p w14:paraId="27B7124A"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lastRenderedPageBreak/>
        <w:t>6.8.2</w:t>
      </w:r>
      <w:r>
        <w:rPr>
          <w:rFonts w:ascii="Arial" w:eastAsia="Arial" w:hAnsi="Arial" w:cs="Arial"/>
          <w:color w:val="000000"/>
          <w:highlight w:val="yellow"/>
        </w:rPr>
        <w:tab/>
        <w:t>El OGD promueve la calidad y el intercambio de los datos a fin de evitar sesgos y asegurar la precisión y representatividad de los datos utilizados en el entrenamiento, validación y uso de los SBIA</w:t>
      </w:r>
      <w:r>
        <w:rPr>
          <w:rStyle w:val="Refdenotaalpie"/>
        </w:rPr>
        <w:footnoteReference w:id="8"/>
      </w:r>
      <w:r>
        <w:rPr>
          <w:rFonts w:ascii="Arial" w:eastAsia="Arial" w:hAnsi="Arial" w:cs="Arial"/>
          <w:color w:val="000000"/>
          <w:highlight w:val="yellow"/>
        </w:rPr>
        <w:t xml:space="preserve"> y asegura su calidad e integridad</w:t>
      </w:r>
      <w:r>
        <w:rPr>
          <w:rStyle w:val="Refdenotaalpie"/>
        </w:rPr>
        <w:footnoteReference w:id="9"/>
      </w:r>
      <w:r>
        <w:rPr>
          <w:rFonts w:ascii="Arial" w:eastAsia="Arial" w:hAnsi="Arial" w:cs="Arial"/>
          <w:color w:val="000000"/>
          <w:highlight w:val="yellow"/>
        </w:rPr>
        <w:t>. Emite opinión sobre el uso de datos en la Ficha de Evaluación de Caso de Uso (Anexo N.° 4) y en la EIA, cuando corresponda.</w:t>
      </w:r>
    </w:p>
    <w:p w14:paraId="35456B5D" w14:textId="77777777" w:rsidR="00863A18" w:rsidRPr="001609F8" w:rsidRDefault="00931E16" w:rsidP="001609F8">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6.8.3</w:t>
      </w:r>
      <w:r>
        <w:rPr>
          <w:rFonts w:ascii="Arial" w:eastAsia="Arial" w:hAnsi="Arial" w:cs="Arial"/>
          <w:color w:val="000000"/>
          <w:highlight w:val="yellow"/>
        </w:rPr>
        <w:tab/>
        <w:t>El uso de datos protegidos por la reserva tributaria para el desarrollo, entrenamiento o validación de un SBIA requiere la determinación previa de su base legal, conforme al artículo 85 del TUO del Código Tributario. Los datos personales se tratan conforme a la Ley N.° 29733. La procedencia y la base legal de uso se documentan en la Ficha de Registro de SBIA (Anexo N.° 1).</w:t>
      </w:r>
    </w:p>
    <w:p w14:paraId="43349764"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6.8.4</w:t>
      </w:r>
      <w:r>
        <w:rPr>
          <w:rFonts w:ascii="Arial" w:eastAsia="Arial" w:hAnsi="Arial" w:cs="Arial"/>
          <w:color w:val="000000"/>
          <w:highlight w:val="yellow"/>
        </w:rPr>
        <w:tab/>
        <w:t>No se utilizan obras protegidas por derechos de autor y derechos conexos como insumo de entrenamiento, ajuste fino o procesamiento en SBIA sin contar con la autorización correspondiente o con la base legal habilitante</w:t>
      </w:r>
      <w:r>
        <w:rPr>
          <w:rStyle w:val="Refdenotaalpie"/>
        </w:rPr>
        <w:footnoteReference w:id="10"/>
      </w:r>
      <w:r>
        <w:rPr>
          <w:rFonts w:ascii="Arial" w:eastAsia="Arial" w:hAnsi="Arial" w:cs="Arial"/>
          <w:color w:val="000000"/>
          <w:highlight w:val="yellow"/>
        </w:rPr>
        <w:t>.</w:t>
      </w:r>
    </w:p>
    <w:p w14:paraId="3EFB2EA4" w14:textId="0A90D010" w:rsidR="005C3A70" w:rsidRPr="002840F0" w:rsidRDefault="005C3A70" w:rsidP="005C3A70">
      <w:pPr>
        <w:tabs>
          <w:tab w:val="left" w:pos="1418"/>
        </w:tabs>
        <w:spacing w:after="60" w:line="276" w:lineRule="auto"/>
        <w:ind w:left="1276" w:hanging="709"/>
        <w:jc w:val="both"/>
        <w:rPr>
          <w:rFonts w:ascii="Arial" w:eastAsia="Arial" w:hAnsi="Arial" w:cs="Arial"/>
          <w:color w:val="000000"/>
          <w:highlight w:val="green"/>
        </w:rPr>
      </w:pPr>
      <w:r w:rsidRPr="002840F0">
        <w:rPr>
          <w:rFonts w:ascii="Arial" w:eastAsia="Arial" w:hAnsi="Arial" w:cs="Arial"/>
          <w:color w:val="000000"/>
          <w:highlight w:val="green"/>
        </w:rPr>
        <w:t xml:space="preserve">6.8.5   </w:t>
      </w:r>
      <w:r w:rsidR="002840F0" w:rsidRPr="002840F0">
        <w:rPr>
          <w:rFonts w:ascii="Arial" w:eastAsia="Arial" w:hAnsi="Arial" w:cs="Arial"/>
          <w:color w:val="000000"/>
          <w:highlight w:val="green"/>
        </w:rPr>
        <w:t>Los conjuntos de datos que la SUNAT genere o administre y que califiquen como datos de alto valor conforme a la normativa de gobierno de datos y de datos abiertos vigente se ponen a disposición a través del Centro Nacional de Datos (CND), previa determinación de su publicabilidad conforme al artículo 85 del TUO del Código Tributario</w:t>
      </w:r>
      <w:r w:rsidR="002840F0">
        <w:rPr>
          <w:rFonts w:ascii="Arial" w:eastAsia="Arial" w:hAnsi="Arial" w:cs="Arial"/>
          <w:color w:val="000000"/>
          <w:highlight w:val="green"/>
        </w:rPr>
        <w:t xml:space="preserve"> </w:t>
      </w:r>
      <w:r w:rsidR="002840F0" w:rsidRPr="002840F0">
        <w:rPr>
          <w:rFonts w:ascii="Arial" w:eastAsia="Arial" w:hAnsi="Arial" w:cs="Arial"/>
          <w:color w:val="000000"/>
          <w:highlight w:val="green"/>
        </w:rPr>
        <w:t>y a la normativa de protección de datos personales. El OGD identifica los conjuntos candidatos aplicando dichos criterios y propone al CGTD su publicación.</w:t>
      </w:r>
    </w:p>
    <w:p w14:paraId="6FEA09F8" w14:textId="30858903" w:rsidR="00670027" w:rsidRDefault="00670027" w:rsidP="005C3A70">
      <w:pPr>
        <w:tabs>
          <w:tab w:val="left" w:pos="1418"/>
        </w:tabs>
        <w:spacing w:after="60" w:line="276" w:lineRule="auto"/>
        <w:ind w:left="1276" w:hanging="709"/>
        <w:jc w:val="both"/>
        <w:rPr>
          <w:rFonts w:ascii="Arial" w:eastAsia="Arial" w:hAnsi="Arial" w:cs="Arial"/>
          <w:color w:val="000000"/>
          <w:highlight w:val="lightGray"/>
        </w:rPr>
      </w:pPr>
      <w:r w:rsidRPr="00670027">
        <w:rPr>
          <w:rFonts w:ascii="Arial" w:eastAsia="Arial" w:hAnsi="Arial" w:cs="Arial"/>
          <w:color w:val="000000"/>
          <w:highlight w:val="lightGray"/>
        </w:rPr>
        <w:t>6.8.6   Los SBIA se construyen sobre conjuntos de datos certificados conforme a la normativa institucional de gobernanza de datos y analítica, cuando estos existan para la materia. El uso de fuentes no certificadas se justifica en la Ficha de Evaluación de Caso de Uso (Anexo N</w:t>
      </w:r>
      <w:r>
        <w:rPr>
          <w:rFonts w:ascii="Arial" w:eastAsia="Arial" w:hAnsi="Arial" w:cs="Arial"/>
          <w:color w:val="000000"/>
          <w:highlight w:val="lightGray"/>
        </w:rPr>
        <w:t>°</w:t>
      </w:r>
      <w:r w:rsidRPr="00670027">
        <w:rPr>
          <w:rFonts w:ascii="Arial" w:eastAsia="Arial" w:hAnsi="Arial" w:cs="Arial"/>
          <w:color w:val="000000"/>
          <w:highlight w:val="lightGray"/>
        </w:rPr>
        <w:t xml:space="preserve"> 4) y consta en la Ficha de Registro de SBIA (Anexo N</w:t>
      </w:r>
      <w:r>
        <w:rPr>
          <w:rFonts w:ascii="Arial" w:eastAsia="Arial" w:hAnsi="Arial" w:cs="Arial"/>
          <w:color w:val="000000"/>
          <w:highlight w:val="lightGray"/>
        </w:rPr>
        <w:t>°</w:t>
      </w:r>
      <w:r w:rsidRPr="00670027">
        <w:rPr>
          <w:rFonts w:ascii="Arial" w:eastAsia="Arial" w:hAnsi="Arial" w:cs="Arial"/>
          <w:color w:val="000000"/>
          <w:highlight w:val="lightGray"/>
        </w:rPr>
        <w:t xml:space="preserve"> 1).</w:t>
      </w:r>
    </w:p>
    <w:p w14:paraId="4C1302CF" w14:textId="77777777" w:rsidR="00FC0075" w:rsidRDefault="00FC0075" w:rsidP="005C3A70">
      <w:pPr>
        <w:tabs>
          <w:tab w:val="left" w:pos="1418"/>
        </w:tabs>
        <w:spacing w:after="60" w:line="276" w:lineRule="auto"/>
        <w:ind w:left="1276" w:hanging="709"/>
        <w:jc w:val="both"/>
        <w:rPr>
          <w:rFonts w:ascii="Arial" w:eastAsia="Arial" w:hAnsi="Arial" w:cs="Arial"/>
          <w:color w:val="000000"/>
          <w:highlight w:val="lightGray"/>
        </w:rPr>
      </w:pPr>
    </w:p>
    <w:p w14:paraId="412997A1" w14:textId="77777777" w:rsidR="00FC0075" w:rsidRDefault="00FC0075" w:rsidP="005C3A70">
      <w:pPr>
        <w:tabs>
          <w:tab w:val="left" w:pos="1418"/>
        </w:tabs>
        <w:spacing w:after="60" w:line="276" w:lineRule="auto"/>
        <w:ind w:left="1276" w:hanging="709"/>
        <w:jc w:val="both"/>
        <w:rPr>
          <w:rFonts w:ascii="Arial" w:eastAsia="Arial" w:hAnsi="Arial" w:cs="Arial"/>
          <w:color w:val="000000"/>
          <w:highlight w:val="lightGray"/>
        </w:rPr>
      </w:pPr>
    </w:p>
    <w:p w14:paraId="53A0B18A"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56C7EFA5" w14:textId="77777777" w:rsidR="00863A18" w:rsidRPr="00923C59" w:rsidRDefault="00863A18" w:rsidP="00B23382">
      <w:pPr>
        <w:pStyle w:val="SubtituloDONI"/>
        <w:spacing w:line="276" w:lineRule="auto"/>
        <w:ind w:left="851"/>
      </w:pPr>
      <w:r>
        <w:t>6.9</w:t>
      </w:r>
      <w:r>
        <w:tab/>
        <w:t>De la transparencia, explicabilidad y rendición de cuentas</w:t>
      </w:r>
    </w:p>
    <w:p w14:paraId="4F417817" w14:textId="352D4AA8" w:rsidR="00836DA1" w:rsidRPr="00E151B6" w:rsidRDefault="00000000" w:rsidP="00E151B6">
      <w:pPr>
        <w:spacing w:after="60" w:line="276" w:lineRule="auto"/>
        <w:ind w:left="1276" w:hanging="720"/>
        <w:jc w:val="both"/>
        <w:rPr>
          <w:rFonts w:ascii="Arial" w:eastAsia="Arial" w:hAnsi="Arial" w:cs="Arial"/>
          <w:color w:val="000000"/>
          <w:highlight w:val="yellow"/>
        </w:rPr>
      </w:pPr>
      <w:r>
        <w:rPr>
          <w:rFonts w:ascii="Arial" w:eastAsia="Arial" w:hAnsi="Arial" w:cs="Arial"/>
          <w:color w:val="000000"/>
          <w:highlight w:val="yellow"/>
        </w:rPr>
        <w:t>6.9.1</w:t>
      </w:r>
      <w:r>
        <w:rPr>
          <w:rFonts w:ascii="Arial" w:eastAsia="Arial" w:hAnsi="Arial" w:cs="Arial"/>
          <w:color w:val="000000"/>
          <w:highlight w:val="yellow"/>
        </w:rPr>
        <w:tab/>
        <w:t>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emplea</w:t>
      </w:r>
      <w:r>
        <w:rPr>
          <w:rStyle w:val="Refdenotaalpie"/>
        </w:rPr>
        <w:footnoteReference w:id="11"/>
      </w:r>
      <w:r>
        <w:rPr>
          <w:rFonts w:ascii="Arial" w:eastAsia="Arial" w:hAnsi="Arial" w:cs="Arial"/>
          <w:color w:val="000000"/>
          <w:highlight w:val="yellow"/>
        </w:rPr>
        <w:t>. La descripción de dichos mecanismos consta en la Ficha de Registro de SBIA (Anexo N.° 1).</w:t>
      </w:r>
      <w:r w:rsidR="00E151B6" w:rsidRPr="00E151B6">
        <w:rPr>
          <w:rFonts w:ascii="Times New Roman" w:eastAsia="Times New Roman" w:hAnsi="Times New Roman" w:cs="Times New Roman"/>
          <w:caps/>
          <w:sz w:val="24"/>
          <w:szCs w:val="24"/>
        </w:rPr>
        <w:t xml:space="preserve"> </w:t>
      </w:r>
      <w:r w:rsidR="00E151B6" w:rsidRPr="00E151B6">
        <w:rPr>
          <w:rFonts w:ascii="Arial" w:eastAsia="Arial" w:hAnsi="Arial" w:cs="Arial"/>
          <w:color w:val="000000"/>
          <w:highlight w:val="green"/>
        </w:rPr>
        <w:t>El alcance de la transparencia algorítmica es el definido en el glosario de la presente directiva. La atención de las solicitudes de acceso a la información que versen sobre un SBIA se sujeta a dicho alcance y a los límites legales aplicables.</w:t>
      </w:r>
    </w:p>
    <w:p w14:paraId="1DA8DA75" w14:textId="77777777"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lastRenderedPageBreak/>
        <w:t>6.9.2</w:t>
      </w:r>
      <w:r>
        <w:rPr>
          <w:rFonts w:ascii="Arial" w:eastAsia="Arial" w:hAnsi="Arial" w:cs="Arial"/>
          <w:color w:val="000000"/>
          <w:highlight w:val="cyan"/>
        </w:rPr>
        <w:tab/>
        <w:t>Entre los mecanismos del numeral 6.9.1 se incluye el etiquetado visible del SBIA, que informa al usuario con antelación que el producto, servicio o contenido se opera con base en IA y que permite comprender de manera general sus principales capacidades y limitaciones funcionales. Este etiquetado se aplica cuando resulta relevante para la toma de decisión o la interacción con el usuario, y se exceptúa de él a los SBIA que apoyan procesos administrativos internos sin impacto directo en la toma de decisiones que afecten derechos o servicios a las personas. El etiquetado aplicado se registra en la Ficha de Registro de SBIA (Anexo N.° 1).</w:t>
      </w:r>
    </w:p>
    <w:p w14:paraId="71D174A5" w14:textId="028570D3" w:rsidR="00836DA1" w:rsidRPr="00E151B6" w:rsidRDefault="00000000" w:rsidP="00E151B6">
      <w:pPr>
        <w:spacing w:after="60" w:line="276" w:lineRule="auto"/>
        <w:ind w:left="1276"/>
        <w:jc w:val="both"/>
      </w:pPr>
      <w:r>
        <w:rPr>
          <w:rFonts w:ascii="Arial" w:hAnsi="Arial" w:cs="Arial"/>
          <w:color w:val="000000"/>
          <w:highlight w:val="cyan"/>
        </w:rPr>
        <w:t>6.9.3</w:t>
      </w:r>
      <w:r>
        <w:rPr>
          <w:rFonts w:ascii="Arial" w:hAnsi="Arial" w:cs="Arial"/>
          <w:color w:val="000000"/>
          <w:highlight w:val="cyan"/>
        </w:rPr>
        <w:tab/>
        <w:t>Los SBIA de riesgo alto cuentan con mecanismos de explicabilidad que permitan comprender los factores que influyeron en un resultado. Cuando un SBIA intervenga en decisiones que impacten en los derechos de los administrados, estos tienen derecho a recibir la explicación de los resultados, mediante mecanismos que permitan comprender los criterios y factores clave utilizados, en un lenguaje accesible.</w:t>
      </w:r>
      <w:r w:rsidR="00E151B6" w:rsidRPr="00E151B6">
        <w:t xml:space="preserve"> </w:t>
      </w:r>
      <w:r w:rsidR="00E151B6" w:rsidRPr="00E151B6">
        <w:rPr>
          <w:rFonts w:ascii="Arial" w:hAnsi="Arial" w:cs="Arial"/>
          <w:color w:val="000000"/>
          <w:highlight w:val="green"/>
        </w:rPr>
        <w:t>Constituyen mecanismos de explicabilidad, según el tipo de SBIA y entre otros: la identificación de las variables o factores que influyeron en el resultado y su peso relativo; la trazabilidad del resultado hacia las fuentes de información que lo sustentan; el registro de la cadena de razonamiento cuando el SBIA la produzca; y la documentación del modelo, que comprende su finalidad, la procedencia de los datos empleados, las métricas de desempeño y las limitaciones conocidas. El custodio técnico genera y mantiene actualizada dicha documentación como condición previa al despliegue del SBIA, y su existencia se verifica en la etapa de certificación y validación del numeral 6.1.1. La explicación que se proporcione al administrado no comprende los elementos excluidos conforme al numeral 6.9.1. Los mecanismos exigibles por tipo de SBIA y el contenido mínimo de la documentación se desarrollan en la metodología prevista en el numeral 6.1.5.</w:t>
      </w:r>
    </w:p>
    <w:p w14:paraId="0B74DC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r>
      <w:r>
        <w:rPr>
          <w:rFonts w:ascii="Arial" w:eastAsia="Arial" w:hAnsi="Arial" w:cs="Arial"/>
          <w:color w:val="000000"/>
          <w:highlight w:val="yellow"/>
        </w:rPr>
        <w:tab/>
        <w:t>El funcionario no debe sustentar la motivación de actos administrativos exclusivamente en resultados de un SBIA. El funcionario debe incorporar su análisis y criterio profesional.</w:t>
      </w:r>
    </w:p>
    <w:p w14:paraId="400F734D" w14:textId="0930E804" w:rsidR="00ED522E" w:rsidRDefault="00ED522E">
      <w:pPr>
        <w:spacing w:after="60" w:line="276" w:lineRule="auto"/>
        <w:ind w:left="1276" w:hanging="720"/>
        <w:jc w:val="both"/>
        <w:rPr>
          <w:rFonts w:ascii="Arial" w:eastAsia="Arial" w:hAnsi="Arial" w:cs="Arial"/>
          <w:color w:val="000000"/>
        </w:rPr>
      </w:pPr>
      <w:r w:rsidRPr="00C23E72">
        <w:rPr>
          <w:rFonts w:ascii="Arial" w:eastAsia="Arial" w:hAnsi="Arial" w:cs="Arial"/>
          <w:color w:val="000000"/>
          <w:highlight w:val="green"/>
        </w:rPr>
        <w:t xml:space="preserve">6.9.5 </w:t>
      </w:r>
      <w:r w:rsidRPr="00C23E72">
        <w:rPr>
          <w:rFonts w:ascii="Arial" w:eastAsia="Arial" w:hAnsi="Arial" w:cs="Arial"/>
          <w:color w:val="000000"/>
          <w:highlight w:val="green"/>
        </w:rPr>
        <w:t xml:space="preserve">   </w:t>
      </w:r>
      <w:r w:rsidRPr="00C23E72">
        <w:rPr>
          <w:rFonts w:ascii="Arial" w:eastAsia="Arial" w:hAnsi="Arial" w:cs="Arial"/>
          <w:color w:val="000000"/>
          <w:highlight w:val="green"/>
        </w:rPr>
        <w:t>La Comisión de Gobierno de IA reporta trimestralmente al CGTD el estado del Inventario Institucional de SBIA, los incidentes, los resultados del monitoreo, el avance de la capacitación y el cumplimiento de los indicadores. Dicho reporte se incorpora como sección diferenciada del informe trimestral que se presenta al CGTD, da cuenta de la actividad de la Comisión y no constituye avance del Plan de Gobierno Digital.</w:t>
      </w:r>
    </w:p>
    <w:p w14:paraId="3C9C3B6B" w14:textId="1CC91AE7" w:rsidR="00836DA1" w:rsidRDefault="00000000">
      <w:pPr>
        <w:spacing w:after="60" w:line="276" w:lineRule="auto"/>
        <w:ind w:left="1276" w:hanging="720"/>
        <w:jc w:val="both"/>
        <w:rPr>
          <w:rFonts w:ascii="Arial" w:eastAsia="Arial" w:hAnsi="Arial" w:cs="Arial"/>
          <w:color w:val="000000"/>
        </w:rPr>
      </w:pPr>
      <w:r w:rsidRPr="00485890">
        <w:rPr>
          <w:rFonts w:ascii="Arial" w:eastAsia="Arial" w:hAnsi="Arial" w:cs="Arial"/>
          <w:color w:val="000000"/>
          <w:highlight w:val="green"/>
        </w:rPr>
        <w:t>6.9.6</w:t>
      </w:r>
      <w:r w:rsidRPr="00485890">
        <w:rPr>
          <w:rFonts w:ascii="Arial" w:eastAsia="Arial" w:hAnsi="Arial" w:cs="Arial"/>
          <w:color w:val="000000"/>
          <w:highlight w:val="green"/>
        </w:rPr>
        <w:tab/>
      </w:r>
      <w:r w:rsidR="00485890" w:rsidRPr="00485890">
        <w:rPr>
          <w:rFonts w:ascii="Arial" w:eastAsia="Arial" w:hAnsi="Arial" w:cs="Arial"/>
          <w:color w:val="000000"/>
          <w:highlight w:val="green"/>
        </w:rPr>
        <w:t>El estado del gobierno de IA institucional se informa como sección del informe de seguimiento del Plan de Gobierno Digital que presenta el CGTD, con la periodicidad y por el conducto que dicho instrumento establece, en ejercicio de su responsabilidad de liderar, dirigir, evaluar y supervisar los proyectos de SBIA estratégicos. Dicha sección sustenta la información que la SUNAT remita a la SGTD en materia de inteligencia artificial. No se genera un informe institucional adicional por esta materia.</w:t>
      </w:r>
    </w:p>
    <w:p w14:paraId="50A05F59" w14:textId="1119CA84"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lastRenderedPageBreak/>
        <w:t>6.9.7</w:t>
      </w:r>
      <w:r>
        <w:rPr>
          <w:rFonts w:ascii="Arial" w:eastAsia="Arial" w:hAnsi="Arial" w:cs="Arial"/>
          <w:color w:val="000000"/>
          <w:highlight w:val="yellow"/>
        </w:rPr>
        <w:tab/>
        <w:t>Los lineamientos sobre Transparencia Algorítmica que apruebe la SGTD</w:t>
      </w:r>
      <w:r>
        <w:rPr>
          <w:rStyle w:val="Refdenotaalpie"/>
        </w:rPr>
        <w:footnoteReference w:id="12"/>
      </w:r>
      <w:r>
        <w:rPr>
          <w:rFonts w:ascii="Arial" w:eastAsia="Arial" w:hAnsi="Arial" w:cs="Arial"/>
          <w:color w:val="000000"/>
          <w:highlight w:val="yellow"/>
        </w:rPr>
        <w:t xml:space="preserve"> </w:t>
      </w:r>
      <w:r w:rsidR="00236A5F">
        <w:rPr>
          <w:rFonts w:ascii="Arial" w:eastAsia="Arial" w:hAnsi="Arial" w:cs="Arial"/>
          <w:color w:val="000000"/>
          <w:highlight w:val="yellow"/>
        </w:rPr>
        <w:t>se aplican</w:t>
      </w:r>
      <w:r>
        <w:rPr>
          <w:rFonts w:ascii="Arial" w:eastAsia="Arial" w:hAnsi="Arial" w:cs="Arial"/>
          <w:color w:val="000000"/>
          <w:highlight w:val="yellow"/>
        </w:rPr>
        <w:t xml:space="preserve"> en la SUNAT desde su entrada en vigencia. La Comisión de Gobierno de IA evalúa su impacto en la presente directiva y propone al CGTD los ajustes que correspondan.</w:t>
      </w:r>
    </w:p>
    <w:p w14:paraId="3376AD41" w14:textId="77777777" w:rsidR="00863A18" w:rsidRPr="00923C59" w:rsidRDefault="00863A18" w:rsidP="00B23382">
      <w:pPr>
        <w:pStyle w:val="SubtituloDONI"/>
        <w:spacing w:line="276" w:lineRule="auto"/>
        <w:ind w:left="851"/>
      </w:pPr>
      <w:r>
        <w:t>6.10</w:t>
      </w:r>
      <w:r>
        <w:tab/>
        <w:t>Del monitoreo, auditoría y mejora continua</w:t>
      </w:r>
    </w:p>
    <w:p w14:paraId="41D4B896" w14:textId="77777777" w:rsidR="00975D3B" w:rsidRPr="00975D3B" w:rsidRDefault="00000000" w:rsidP="00975D3B">
      <w:pPr>
        <w:spacing w:after="0" w:line="276" w:lineRule="auto"/>
        <w:ind w:left="1276" w:hanging="720"/>
        <w:jc w:val="both"/>
        <w:rPr>
          <w:rFonts w:ascii="Arial" w:eastAsia="Arial" w:hAnsi="Arial" w:cs="Arial"/>
          <w:color w:val="000000"/>
          <w:highlight w:val="green"/>
        </w:rPr>
      </w:pPr>
      <w:r w:rsidRPr="00975D3B">
        <w:rPr>
          <w:rFonts w:ascii="Arial" w:eastAsia="Arial" w:hAnsi="Arial" w:cs="Arial"/>
          <w:color w:val="000000"/>
          <w:highlight w:val="green"/>
        </w:rPr>
        <w:t>6.10.1</w:t>
      </w:r>
      <w:r w:rsidRPr="00975D3B">
        <w:rPr>
          <w:rFonts w:ascii="Arial" w:eastAsia="Arial" w:hAnsi="Arial" w:cs="Arial"/>
          <w:color w:val="000000"/>
          <w:highlight w:val="green"/>
        </w:rPr>
        <w:tab/>
      </w:r>
      <w:r w:rsidR="00975D3B" w:rsidRPr="00975D3B">
        <w:rPr>
          <w:rFonts w:ascii="Arial" w:eastAsia="Arial" w:hAnsi="Arial" w:cs="Arial"/>
          <w:color w:val="000000"/>
          <w:highlight w:val="green"/>
        </w:rPr>
        <w:t>Todo SBIA en operación es objeto de monitoreo. La Comisión de Gobierno de IA determina la frecuencia y la profundidad del monitoreo de cada SBIA en función de su nivel de riesgo, del impacto que un resultado erróneo produciría en el administrado o en la institución, del volumen de operaciones que procesa y del grado de autonomía con que opera. La frecuencia determinada, los indicadores aplicables, sus umbrales y los responsables de la medición constan en el plan de monitoreo del SBIA, que se aprueba con anterioridad a su puesta en producción conforme al numeral 6.10.2.</w:t>
      </w:r>
    </w:p>
    <w:p w14:paraId="47917BAE"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sidRPr="00975D3B">
        <w:rPr>
          <w:b w:val="0"/>
          <w:bCs w:val="0"/>
          <w:color w:val="000000"/>
          <w:highlight w:val="green"/>
        </w:rPr>
        <w:t xml:space="preserve">En los SBIA de riesgo alto el monitoreo comprende, como mínimo, una revisión humana de periodicidad no mayor a la semanal y una revisión integral trimestral. </w:t>
      </w:r>
    </w:p>
    <w:p w14:paraId="1D49D1D2"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sidRPr="00975D3B">
        <w:rPr>
          <w:b w:val="0"/>
          <w:bCs w:val="0"/>
          <w:color w:val="000000"/>
          <w:highlight w:val="green"/>
        </w:rPr>
        <w:t xml:space="preserve">En los SBIA de riesgo aceptable comprende, como mínimo, una revisión de indicadores de periodicidad no mayor a la trimestral y una revisión integral anual. </w:t>
      </w:r>
    </w:p>
    <w:p w14:paraId="18BA225E" w14:textId="33429B3A" w:rsidR="00975D3B" w:rsidRPr="00975D3B" w:rsidRDefault="00975D3B" w:rsidP="00975D3B">
      <w:pPr>
        <w:spacing w:after="0" w:line="276" w:lineRule="auto"/>
        <w:ind w:left="1276"/>
        <w:jc w:val="both"/>
        <w:rPr>
          <w:rFonts w:ascii="Arial" w:eastAsia="Arial" w:hAnsi="Arial" w:cs="Arial"/>
          <w:color w:val="000000"/>
          <w:highlight w:val="green"/>
        </w:rPr>
      </w:pPr>
      <w:r w:rsidRPr="00975D3B">
        <w:rPr>
          <w:rFonts w:ascii="Arial" w:eastAsia="Arial" w:hAnsi="Arial" w:cs="Arial"/>
          <w:color w:val="000000"/>
          <w:highlight w:val="green"/>
        </w:rPr>
        <w:t>Cuando el plan de monitoreo prevea vigilancia automatizada, esta opera durante el horario de operación del SBIA, salvo que su criticidad justifique cobertura permanente, lo que se sustenta en el mismo plan.</w:t>
      </w:r>
    </w:p>
    <w:p w14:paraId="42C40B9C" w14:textId="77777777" w:rsidR="00975D3B" w:rsidRDefault="00975D3B" w:rsidP="00975D3B">
      <w:pPr>
        <w:spacing w:after="0" w:line="276" w:lineRule="auto"/>
        <w:ind w:left="1276"/>
        <w:jc w:val="both"/>
        <w:rPr>
          <w:rFonts w:ascii="Arial" w:eastAsia="Arial" w:hAnsi="Arial" w:cs="Arial"/>
          <w:color w:val="000000"/>
        </w:rPr>
      </w:pPr>
      <w:r w:rsidRPr="00975D3B">
        <w:rPr>
          <w:rFonts w:ascii="Arial" w:eastAsia="Arial" w:hAnsi="Arial" w:cs="Arial"/>
          <w:color w:val="000000"/>
          <w:highlight w:val="green"/>
        </w:rPr>
        <w:t>Los criterios de determinación de la frecuencia, los tipos de monitoreo aplicables y su desarrollo operativo se establecen en la metodología prevista en el numeral 6.1.5.</w:t>
      </w:r>
    </w:p>
    <w:p w14:paraId="05990822" w14:textId="47F5FBA7" w:rsidR="003173B4" w:rsidRDefault="003173B4" w:rsidP="00975D3B">
      <w:pPr>
        <w:spacing w:after="60" w:line="276" w:lineRule="auto"/>
        <w:ind w:left="1276" w:hanging="709"/>
        <w:jc w:val="both"/>
        <w:rPr>
          <w:rFonts w:ascii="Arial" w:eastAsia="Arial" w:hAnsi="Arial" w:cs="Arial"/>
          <w:color w:val="000000"/>
        </w:rPr>
      </w:pPr>
      <w:r w:rsidRPr="003173B4">
        <w:rPr>
          <w:rFonts w:ascii="Arial" w:eastAsia="Arial" w:hAnsi="Arial" w:cs="Arial"/>
          <w:color w:val="000000"/>
          <w:highlight w:val="green"/>
        </w:rPr>
        <w:t>6.10.2</w:t>
      </w:r>
      <w:r w:rsidRPr="003173B4">
        <w:rPr>
          <w:rFonts w:ascii="Arial" w:eastAsia="Arial" w:hAnsi="Arial" w:cs="Arial"/>
          <w:color w:val="000000"/>
          <w:highlight w:val="green"/>
        </w:rPr>
        <w:tab/>
        <w:t>La Comisión de Gobierno de IA define, para cada SBIA registrado en el Inventario, los indicadores de monitoreo que como mínimo incluyen: tasa de precisión, tasa de error, tiempo de respuesta, disponibilidad, detección de drift, indicadores de sesgo y tasa de intervención humana. Los umbrales de cada indicador, las alertas que su superación activa y las acciones de tratamiento correspondientes se definen con anterioridad a la puesta en producción del SBIA, conforme a la metodología prevista en el numeral 6.1.5. El propietario del caso de uso, con apoyo del equipo técnico de la INSI, mide y reporta estos indicadores conforme a la frecuencia establecida en el numeral 6.10.1. La Comisión de Gobierno de IA consolida los resultados y los presenta al CGTD para su evaluación.</w:t>
      </w:r>
    </w:p>
    <w:p w14:paraId="550B9BD2" w14:textId="6CC61178"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t>6.10.3</w:t>
      </w:r>
      <w:r>
        <w:rPr>
          <w:rFonts w:ascii="Arial" w:eastAsia="Arial" w:hAnsi="Arial" w:cs="Arial"/>
          <w:color w:val="000000"/>
          <w:highlight w:val="yellow"/>
        </w:rPr>
        <w:tab/>
        <w:t xml:space="preserve">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w:t>
      </w:r>
      <w:r>
        <w:rPr>
          <w:rFonts w:ascii="Arial" w:eastAsia="Arial" w:hAnsi="Arial" w:cs="Arial"/>
          <w:color w:val="000000"/>
          <w:highlight w:val="yellow"/>
        </w:rPr>
        <w:lastRenderedPageBreak/>
        <w:t>comprende además las pruebas de rendimiento y de regresión que correspondan al tipo de SBIA.</w:t>
      </w:r>
    </w:p>
    <w:p w14:paraId="38DF30B6" w14:textId="10ABBB77" w:rsidR="00532CB5" w:rsidRDefault="00D950D6" w:rsidP="00AE1F2D">
      <w:pPr>
        <w:spacing w:after="0" w:line="276" w:lineRule="auto"/>
        <w:ind w:left="1276"/>
        <w:jc w:val="both"/>
        <w:rPr>
          <w:rFonts w:ascii="Arial" w:eastAsia="Arial" w:hAnsi="Arial" w:cs="Arial"/>
          <w:color w:val="000000"/>
        </w:rPr>
      </w:pPr>
      <w:r w:rsidRPr="00D950D6">
        <w:rPr>
          <w:rFonts w:ascii="Arial" w:eastAsia="Arial" w:hAnsi="Arial" w:cs="Arial"/>
          <w:color w:val="000000"/>
          <w:highlight w:val="green"/>
        </w:rPr>
        <w:t xml:space="preserve">El análisis de riesgo y las pruebas de vulnerabilidad sobre la arquitectura de aplicaciones, de información y de infraestructura tecnológica que soporta cada SBIA corresponden a la Oficina de Seguridad Informática, conforme al literal b) del artículo 106 del ROF y a la etapa de certificación y validación del numeral 6.1.1. La obligación de auditorías de seguridad digital del literal c) del artículo 29 del RLIA se satisface con la concurrencia de la verificación y validación de calidad, del análisis de riesgo, las pruebas de vulnerabilidad </w:t>
      </w:r>
      <w:r w:rsidR="000C7600" w:rsidRPr="000C7600">
        <w:rPr>
          <w:rFonts w:ascii="Arial" w:eastAsia="Arial" w:hAnsi="Arial" w:cs="Arial"/>
          <w:color w:val="000000"/>
          <w:highlight w:val="green"/>
        </w:rPr>
        <w:t>y el red teaming previstos en el numeral 6.7.2, con anterioridad a la implementación del SBIA y con la periodicidad prevista en el mismo numeral, y del monitoreo del numeral 6.10</w:t>
      </w:r>
      <w:r w:rsidRPr="00D950D6">
        <w:rPr>
          <w:rFonts w:ascii="Arial" w:eastAsia="Arial" w:hAnsi="Arial" w:cs="Arial"/>
          <w:color w:val="000000"/>
          <w:highlight w:val="green"/>
        </w:rPr>
        <w:t>, que comprende los indicadores de sesgo del numeral 6.10.2 y las medidas del numeral 6.6.4, durante toda su operación. Los resultados de estas actividades alimentan el informe trimestral de la Comisión de Gobierno de IA al CGTD.</w:t>
      </w:r>
    </w:p>
    <w:p w14:paraId="2A1A068A" w14:textId="0FE84EA5" w:rsidR="00532CB5" w:rsidRPr="00532CB5" w:rsidRDefault="00532CB5" w:rsidP="00532CB5">
      <w:pPr>
        <w:spacing w:after="0" w:line="276" w:lineRule="auto"/>
        <w:ind w:left="1276" w:hanging="709"/>
        <w:jc w:val="both"/>
        <w:rPr>
          <w:rFonts w:ascii="Arial" w:hAnsi="Arial" w:cs="Arial"/>
          <w:highlight w:val="lightGray"/>
        </w:rPr>
      </w:pPr>
      <w:r w:rsidRPr="00532CB5">
        <w:rPr>
          <w:rFonts w:ascii="Arial" w:hAnsi="Arial" w:cs="Arial"/>
          <w:highlight w:val="lightGray"/>
        </w:rPr>
        <w:t>6.10.4 Todo cambio sobre un SBIA en operación se gestiona de manera controlada y proporcional a su nivel de riesgo. Constituyen cambio, entre otros, el reentrenamiento o la recalibración del modelo, su sustitución o el cambio de versión del modelo base, la modificación de las fuentes o de la estructura de los datos de entrada, la ampliación de la finalidad o de la población objetivo del SBIA, y el cambio de proveedor. El propietario del caso de uso registra todo cambio en el Inventario Institucional de SBIA y lo comunica a la Comisión de Gobierno de IA.</w:t>
      </w:r>
    </w:p>
    <w:p w14:paraId="0FD1A58F" w14:textId="544CCF8B" w:rsidR="00532CB5" w:rsidRDefault="00532CB5" w:rsidP="00532CB5">
      <w:pPr>
        <w:spacing w:after="0" w:line="276" w:lineRule="auto"/>
        <w:ind w:left="1276" w:hanging="709"/>
        <w:jc w:val="both"/>
        <w:rPr>
          <w:rFonts w:ascii="Arial" w:hAnsi="Arial" w:cs="Arial"/>
        </w:rPr>
      </w:pPr>
      <w:r w:rsidRPr="00532CB5">
        <w:rPr>
          <w:rFonts w:ascii="Arial" w:hAnsi="Arial" w:cs="Arial"/>
          <w:highlight w:val="lightGray"/>
        </w:rPr>
        <w:t>6.10.5 Es significativo el cambio que altera el desempeño, la finalidad o la población objetivo del SBIA. El cambio significativo requiere, con anterioridad a su puesta en producción: la revisión de la clasificación de riesgo conforme al numeral 6.2.2; la actualización de la EIA conforme al numeral 6.4.3, cuando corresponda; la verificación y validación conforme al numeral 6.10.3; y la aprobación prevista en el numeral 6.1.2. El despliegue del cambio se realiza con versión identificable y con un plan de reversión que permita restituir la versión anterior del SBIA. La operación posterior al cambio es objeto de seguimiento reforzado durante el periodo que corresponda a su nivel de riesgo, conforme a la metodología prevista en el numeral 6.1.5.</w:t>
      </w:r>
    </w:p>
    <w:p w14:paraId="3CCCA354" w14:textId="3AC6A5E4" w:rsidR="00975D3B" w:rsidRDefault="00975D3B" w:rsidP="00532CB5">
      <w:pPr>
        <w:spacing w:after="0" w:line="276" w:lineRule="auto"/>
        <w:ind w:left="1276" w:hanging="709"/>
        <w:jc w:val="both"/>
        <w:rPr>
          <w:rFonts w:ascii="Arial" w:hAnsi="Arial" w:cs="Arial"/>
        </w:rPr>
      </w:pPr>
      <w:r w:rsidRPr="00975D3B">
        <w:rPr>
          <w:rFonts w:ascii="Arial" w:hAnsi="Arial" w:cs="Arial"/>
          <w:highlight w:val="green"/>
        </w:rPr>
        <w:t>6.10.6 El monitoreo comprende la detección del uso indebido del SBIA por parte de quienes lo operan o interactúan con él, con independencia del nivel de riesgo que tenga asignado. Constituyen indicios de uso indebido, entre otros, la manipulación de los datos de entrada para inducir un resultado determinado, el empleo del SBIA para una finalidad distinta de la registrada en el Inventario Institucional de SBIA y los patrones de uso incompatibles con la operación normal del proceso. El plan de monitoreo incorpora los indicadores que permitan detectar dichos patrones. El tratamiento de los hallazgos se realiza conforme al numeral 6.7.5 y, cuando corresponda, conforme a las normas de integridad institucional.</w:t>
      </w:r>
    </w:p>
    <w:p w14:paraId="773B794C" w14:textId="77777777" w:rsidR="00FC0075" w:rsidRDefault="00FC0075" w:rsidP="00532CB5">
      <w:pPr>
        <w:spacing w:after="0" w:line="276" w:lineRule="auto"/>
        <w:ind w:left="1276" w:hanging="709"/>
        <w:jc w:val="both"/>
        <w:rPr>
          <w:rFonts w:ascii="Arial" w:hAnsi="Arial" w:cs="Arial"/>
        </w:rPr>
      </w:pPr>
    </w:p>
    <w:p w14:paraId="5FE06860" w14:textId="77777777" w:rsidR="00FC0075" w:rsidRDefault="00FC0075" w:rsidP="00532CB5">
      <w:pPr>
        <w:spacing w:after="0" w:line="276" w:lineRule="auto"/>
        <w:ind w:left="1276" w:hanging="709"/>
        <w:jc w:val="both"/>
        <w:rPr>
          <w:rFonts w:ascii="Arial" w:hAnsi="Arial" w:cs="Arial"/>
        </w:rPr>
      </w:pPr>
    </w:p>
    <w:p w14:paraId="11FBA81E" w14:textId="3B7FE931"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lastRenderedPageBreak/>
        <w:t>Del uso responsable</w:t>
      </w:r>
      <w:r w:rsidR="005F24C2">
        <w:rPr>
          <w:rFonts w:ascii="Arial" w:hAnsi="Arial" w:cs="Arial"/>
          <w:b/>
          <w:bCs/>
          <w:color w:val="1B3A5B"/>
          <w:sz w:val="24"/>
          <w:szCs w:val="24"/>
          <w:highlight w:val="cyan"/>
        </w:rPr>
        <w:t xml:space="preserve"> y ético, de </w:t>
      </w:r>
      <w:r w:rsidR="005F24C2" w:rsidRPr="005F24C2">
        <w:rPr>
          <w:rFonts w:ascii="Arial" w:hAnsi="Arial" w:cs="Arial"/>
          <w:b/>
          <w:bCs/>
          <w:color w:val="1B3A5B"/>
          <w:sz w:val="24"/>
          <w:szCs w:val="24"/>
          <w:highlight w:val="cyan"/>
        </w:rPr>
        <w:t>las</w:t>
      </w:r>
      <w:r w:rsidRPr="005F24C2">
        <w:rPr>
          <w:rFonts w:ascii="Arial" w:hAnsi="Arial" w:cs="Arial"/>
          <w:b/>
          <w:bCs/>
          <w:color w:val="1B3A5B"/>
          <w:sz w:val="24"/>
          <w:szCs w:val="24"/>
          <w:highlight w:val="cyan"/>
        </w:rPr>
        <w:t xml:space="preserve"> </w:t>
      </w:r>
      <w:r w:rsidR="005F24C2" w:rsidRPr="005F24C2">
        <w:rPr>
          <w:rFonts w:ascii="Arial" w:hAnsi="Arial" w:cs="Arial"/>
          <w:b/>
          <w:bCs/>
          <w:color w:val="1B3A5B"/>
          <w:sz w:val="24"/>
          <w:szCs w:val="24"/>
          <w:highlight w:val="cyan"/>
        </w:rPr>
        <w:t>capacidades y proveedores</w:t>
      </w:r>
    </w:p>
    <w:p w14:paraId="7E6D459C" w14:textId="77777777" w:rsidR="00863A18" w:rsidRPr="00923C59" w:rsidRDefault="00863A18" w:rsidP="00B23382">
      <w:pPr>
        <w:pStyle w:val="SubtituloDONI"/>
        <w:spacing w:line="276" w:lineRule="auto"/>
        <w:ind w:left="851"/>
      </w:pPr>
      <w:r>
        <w:t>6.11</w:t>
      </w:r>
      <w:r>
        <w:tab/>
        <w:t>Del uso responsable de herramientas de IA</w:t>
      </w:r>
    </w:p>
    <w:p w14:paraId="4114732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r>
      <w:r>
        <w:rPr>
          <w:rFonts w:ascii="Arial" w:eastAsia="Arial" w:hAnsi="Arial" w:cs="Arial"/>
          <w:color w:val="000000"/>
        </w:rPr>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70CC406C" w14:textId="77777777" w:rsidR="000C7600" w:rsidRPr="000C7600" w:rsidRDefault="000C7600">
      <w:pPr>
        <w:pStyle w:val="Prrafodelista"/>
        <w:numPr>
          <w:ilvl w:val="0"/>
          <w:numId w:val="5"/>
        </w:numPr>
        <w:spacing w:after="40" w:line="276" w:lineRule="auto"/>
        <w:ind w:left="1701"/>
        <w:rPr>
          <w:b w:val="0"/>
          <w:bCs w:val="0"/>
          <w:highlight w:val="green"/>
        </w:rPr>
      </w:pPr>
      <w:r w:rsidRPr="000C7600">
        <w:rPr>
          <w:b w:val="0"/>
          <w:bCs w:val="0"/>
          <w:color w:val="000000"/>
          <w:highlight w:val="green"/>
        </w:rPr>
        <w:t>No ingresar información sujeta a reserva tributaria ni datos personales de contribuyentes u operadores aduaneros en herramientas de IA cuyo ámbito de uso autorizado en el catálogo institucional no comprenda ese tratamiento. El tratamiento de información sujeta a reserva tributaria se rige, además, por el numeral 6.7.3.</w:t>
      </w:r>
    </w:p>
    <w:p w14:paraId="2FC15DE4" w14:textId="3C5DAD40"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283BC86D"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1884B3D9"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F452CA"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7918E9BE" w14:textId="256E1004" w:rsidR="000153F0" w:rsidRDefault="00000000">
      <w:pPr>
        <w:spacing w:after="60" w:line="276" w:lineRule="auto"/>
        <w:ind w:left="1276" w:hanging="720"/>
        <w:jc w:val="both"/>
        <w:rPr>
          <w:rFonts w:ascii="Arial" w:eastAsia="Arial" w:hAnsi="Arial" w:cs="Arial"/>
          <w:color w:val="000000"/>
        </w:rPr>
      </w:pPr>
      <w:r w:rsidRPr="001F1383">
        <w:rPr>
          <w:rFonts w:ascii="Arial" w:eastAsia="Arial" w:hAnsi="Arial" w:cs="Arial"/>
          <w:color w:val="000000"/>
          <w:highlight w:val="green"/>
        </w:rPr>
        <w:t>6.11.2</w:t>
      </w:r>
      <w:r w:rsidRPr="001F1383">
        <w:rPr>
          <w:rFonts w:ascii="Arial" w:eastAsia="Arial" w:hAnsi="Arial" w:cs="Arial"/>
          <w:color w:val="000000"/>
          <w:highlight w:val="green"/>
        </w:rPr>
        <w:tab/>
      </w:r>
      <w:r w:rsidR="001F1383" w:rsidRPr="001F1383">
        <w:rPr>
          <w:rFonts w:ascii="Arial" w:eastAsia="Arial" w:hAnsi="Arial" w:cs="Arial"/>
          <w:color w:val="000000"/>
          <w:highlight w:val="green"/>
        </w:rPr>
        <w:t>El catálogo de herramientas de IA autorizadas para uso institucional registra las herramientas aprobadas conforme al numeral 6.11.5. El catálogo precisa, para cada herramienta, el ámbito de uso autorizado (uso administrativo general o uso restringido) y si se encuentra desplegada en infraestructura bajo control de la SUNAT. Solo las herramientas desplegadas en dicha infraestructura pueden emplearse con información sujeta a reserva tributaria, conforme al numeral 6.7.3. La INSI lo publica y lo mantiene actualizado.</w:t>
      </w:r>
    </w:p>
    <w:p w14:paraId="4BCC2079" w14:textId="77777777"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6.11.3</w:t>
      </w:r>
      <w:r>
        <w:rPr>
          <w:rFonts w:ascii="Arial" w:eastAsia="Arial" w:hAnsi="Arial" w:cs="Arial"/>
          <w:color w:val="000000"/>
        </w:rPr>
        <w:tab/>
        <w:t>La INSI aprueba y mantiene los lineamientos técnicos que regulan el uso de LLM open source en su infraestructura. Las unidades de organización los cumplen como condición para el despliegue de estos modelos.</w:t>
      </w:r>
      <w:r>
        <w:rPr>
          <w:rFonts w:ascii="Arial" w:eastAsia="Arial" w:hAnsi="Arial" w:cs="Arial"/>
          <w:color w:val="000000"/>
          <w:highlight w:val="cyan"/>
        </w:rPr>
        <w:t xml:space="preserve"> El despliegue de estos modelos observa, en lo que corresponda, el Procedimiento para el Registro, Control y Retiro de Software de la SUNAT (A-03.3.2-PR-01).</w:t>
      </w:r>
    </w:p>
    <w:p w14:paraId="7106A4EF"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6.11.4</w:t>
      </w:r>
      <w:r>
        <w:rPr>
          <w:rFonts w:ascii="Arial" w:eastAsia="Arial" w:hAnsi="Arial" w:cs="Arial"/>
          <w:color w:val="000000"/>
          <w:highlight w:val="yellow"/>
        </w:rPr>
        <w:tab/>
        <w:t>Ninguna unidad organizacional desarrolla, adquiere, contrata, implementa u opera SBIA fuera del límite de la presente directiva, independientemente de su complejidad, presupuesto o ámbito geográfico. En particular: (a) toda iniciativa de SBIA como proyecto requiere aprobación conforme al ciclo de vida del numeral 6.1 y registro en el Inventario Institucional; (b) toda contratación de servicios de IA como herramienta (suscripciones, APIs, plataformas SaaS) requiere autorización previa de la INSI e inclusión en el catálogo institucional (numeral 6.11.2). Los colaboradores utilizan exclusivamente las herramientas de IA que figuran en dicho catálogo. La Comisión de Gobierno de IA promueve la regularización mediante el registro y el acompañamiento proporcional a la unidad involucrada. Los incumplimientos reiterados o que impliquen uso indebido se comunican al CGTD y, según corresponda, a la OII.</w:t>
      </w:r>
    </w:p>
    <w:p w14:paraId="26F26301" w14:textId="71DF4148" w:rsidR="000153F0"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6.11.5</w:t>
      </w:r>
      <w:r>
        <w:rPr>
          <w:rFonts w:ascii="Arial" w:hAnsi="Arial" w:cs="Arial"/>
          <w:color w:val="000000"/>
          <w:highlight w:val="cyan"/>
        </w:rPr>
        <w:tab/>
        <w:t xml:space="preserve">La GA aprueba las herramientas de IA que pueden emplearse en la SUNAT, conforme a sus funciones (artículo 130, literal c, del ROF), y las registra en el catálogo institucional de herramientas de IA. La Gerencia de Operaciones y </w:t>
      </w:r>
      <w:r>
        <w:rPr>
          <w:rFonts w:ascii="Arial" w:hAnsi="Arial" w:cs="Arial"/>
          <w:color w:val="000000"/>
          <w:highlight w:val="cyan"/>
        </w:rPr>
        <w:lastRenderedPageBreak/>
        <w:t>Soporte a Usuarios asegura que los equipos informáticos tengan instalado únicamente software autorizado. El catálogo institucional de herramientas de IA constituye el subconjunto de inteligencia artificial del inventario de software autorizado; ambos se distinguen del Inventario de SBIA (Anexo N.° 1), que registra los sistemas basados en IA y no las herramientas.</w:t>
      </w:r>
      <w:r>
        <w:rPr>
          <w:rFonts w:ascii="Arial" w:eastAsia="Arial" w:hAnsi="Arial" w:cs="Arial"/>
          <w:color w:val="000000"/>
          <w:highlight w:val="cyan"/>
        </w:rPr>
        <w:t xml:space="preserve"> </w:t>
      </w:r>
      <w:r w:rsidR="00D12015" w:rsidRPr="00D12015">
        <w:rPr>
          <w:rFonts w:ascii="Arial" w:eastAsia="Arial" w:hAnsi="Arial" w:cs="Arial"/>
          <w:color w:val="000000"/>
          <w:highlight w:val="green"/>
        </w:rPr>
        <w:t>El registro, el control y el retiro de las herramientas de IA que requieren instalación en los equipos informáticos se rigen por el Procedimiento para el Registro, Control y Retiro de Software de la SUNAT (A-03.3.2-PR-01). La Gerencia de Operaciones y Soporte a Usuarios adecúa dicho procedimiento para comprender las herramientas de IA que se consumen como servicio y no requieren instalación, conforme al numeral 7.6 de la presente directiva. En tanto no se apruebe dicha adecuación, el alta y la baja de estas herramientas en el catálogo institucional se efectúan conforme al presente numeral.</w:t>
      </w:r>
    </w:p>
    <w:p w14:paraId="3BCCF2B5" w14:textId="77777777" w:rsidR="00863A18" w:rsidRPr="00923C59" w:rsidRDefault="00863A18" w:rsidP="00B23382">
      <w:pPr>
        <w:pStyle w:val="SubtituloDONI"/>
        <w:spacing w:line="276" w:lineRule="auto"/>
        <w:ind w:left="851"/>
      </w:pPr>
      <w:r>
        <w:t>6.12</w:t>
      </w:r>
      <w:r>
        <w:tab/>
        <w:t>De la gestión de proveedores de IA</w:t>
      </w:r>
    </w:p>
    <w:p w14:paraId="4087DF53"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6.12.1</w:t>
      </w:r>
      <w:r>
        <w:rPr>
          <w:rFonts w:ascii="Arial" w:eastAsia="Arial" w:hAnsi="Arial" w:cs="Arial"/>
          <w:color w:val="000000"/>
        </w:rPr>
        <w:tab/>
        <w:t>La adquisición de SBIA incluye en los TDR o EETT los requisitos de cumplimiento de la presente directiva y normativa aplicable.</w:t>
      </w:r>
    </w:p>
    <w:p w14:paraId="49A67712" w14:textId="149F2FFD" w:rsidR="003173B4" w:rsidRDefault="003173B4" w:rsidP="00B23382">
      <w:pPr>
        <w:spacing w:after="60" w:line="276" w:lineRule="auto"/>
        <w:ind w:left="1276" w:hanging="720"/>
        <w:jc w:val="both"/>
        <w:rPr>
          <w:rFonts w:ascii="Arial" w:eastAsia="Arial" w:hAnsi="Arial" w:cs="Arial"/>
          <w:color w:val="000000"/>
        </w:rPr>
      </w:pPr>
      <w:r w:rsidRPr="003173B4">
        <w:rPr>
          <w:rFonts w:ascii="Arial" w:eastAsia="Arial" w:hAnsi="Arial" w:cs="Arial"/>
          <w:color w:val="000000"/>
          <w:highlight w:val="green"/>
        </w:rPr>
        <w:t>6.12.2</w:t>
      </w:r>
      <w:r w:rsidRPr="003173B4">
        <w:rPr>
          <w:rFonts w:ascii="Arial" w:eastAsia="Arial" w:hAnsi="Arial" w:cs="Arial"/>
          <w:color w:val="000000"/>
          <w:highlight w:val="green"/>
        </w:rPr>
        <w:tab/>
        <w:t xml:space="preserve">Los contratos incluyen cláusulas sobre: (a) protección de datos y reserva tributaria; (b) transparencia del modelo; (c) comunicación de vulnerabilidades e incidentes; (d) derecho de auditoría, incluida la realización de auditorías éticas y de sesgo sobre el modelo; (e) transferencia de conocimiento; </w:t>
      </w:r>
      <w:r w:rsidR="008B2BEE" w:rsidRPr="008B2BEE">
        <w:rPr>
          <w:rFonts w:ascii="Arial" w:eastAsia="Arial" w:hAnsi="Arial" w:cs="Arial"/>
          <w:color w:val="000000"/>
          <w:highlight w:val="green"/>
        </w:rPr>
        <w:t>(f) cumplimiento de estándares técnicos; y (g) la identificación de los subprocesadores autorizados y las condiciones de recuperación de la información institucional a la conclusión del contrato.</w:t>
      </w:r>
      <w:r w:rsidR="008B2BEE">
        <w:rPr>
          <w:rFonts w:ascii="Arial" w:eastAsia="Arial" w:hAnsi="Arial" w:cs="Arial"/>
          <w:color w:val="000000"/>
          <w:highlight w:val="green"/>
        </w:rPr>
        <w:t xml:space="preserve"> </w:t>
      </w:r>
      <w:r w:rsidRPr="003173B4">
        <w:rPr>
          <w:rFonts w:ascii="Arial" w:eastAsia="Arial" w:hAnsi="Arial" w:cs="Arial"/>
          <w:color w:val="000000"/>
          <w:highlight w:val="green"/>
        </w:rPr>
        <w:t>El plazo de notificación de vulnerabilidades se define en los TDR o EETT de cada contratación, según la criticidad del SBIA</w:t>
      </w:r>
      <w:r w:rsidRPr="003173B4">
        <w:rPr>
          <w:rFonts w:ascii="Arial" w:eastAsia="Arial" w:hAnsi="Arial" w:cs="Arial"/>
          <w:color w:val="000000"/>
          <w:highlight w:val="green"/>
        </w:rPr>
        <w:t>.</w:t>
      </w:r>
    </w:p>
    <w:p w14:paraId="0C47E374" w14:textId="0EA777AA"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6.12.3</w:t>
      </w:r>
      <w:r>
        <w:rPr>
          <w:rFonts w:ascii="Arial" w:eastAsia="Arial" w:hAnsi="Arial" w:cs="Arial"/>
          <w:color w:val="000000"/>
        </w:rPr>
        <w:tab/>
        <w:t>Para SBIA SaaS, la INSI verifica la compatibilidad de los términos de uso con las obligaciones de SUNAT en materia de datos y reserva tributaria.</w:t>
      </w:r>
    </w:p>
    <w:p w14:paraId="3CED9203" w14:textId="0A225DA0"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6.12.4</w:t>
      </w:r>
      <w:r>
        <w:rPr>
          <w:rFonts w:ascii="Arial" w:eastAsia="Arial" w:hAnsi="Arial" w:cs="Arial"/>
          <w:color w:val="000000"/>
          <w:highlight w:val="yellow"/>
        </w:rPr>
        <w:tab/>
      </w:r>
      <w:r w:rsidR="008B2BEE" w:rsidRPr="008B2BEE">
        <w:rPr>
          <w:rFonts w:ascii="Arial" w:eastAsia="Arial" w:hAnsi="Arial" w:cs="Arial"/>
          <w:color w:val="000000"/>
          <w:highlight w:val="green"/>
        </w:rPr>
        <w:t>Los contratos prohíben al proveedor emplear la información de la SUNAT (en particular la sujeta a reserva tributaria y los datos personales), las instrucciones que se le remitan y los resultados derivados de su tratamiento, para entrenar, ajustar o mejorar sus modelos o para cualquier fin propio</w:t>
      </w:r>
      <w:r w:rsidRPr="008B2BEE">
        <w:rPr>
          <w:rFonts w:ascii="Arial" w:eastAsia="Arial" w:hAnsi="Arial" w:cs="Arial"/>
          <w:color w:val="000000"/>
          <w:highlight w:val="green"/>
        </w:rPr>
        <w:t xml:space="preserve">, </w:t>
      </w:r>
      <w:r>
        <w:rPr>
          <w:rFonts w:ascii="Arial" w:eastAsia="Arial" w:hAnsi="Arial" w:cs="Arial"/>
          <w:color w:val="000000"/>
          <w:highlight w:val="yellow"/>
        </w:rPr>
        <w:t>en concordancia con el artículo 85 del Código Tributario, que extiende la obligación de reserva a quienes accedan a dicha información. La propiedad intelectual de los ajustes (fine-tuning) realizados con información o para necesidades de la SUNAT corresponde a la SUNAT.</w:t>
      </w:r>
    </w:p>
    <w:p w14:paraId="010751C3" w14:textId="76F1EEB3" w:rsidR="0018147B" w:rsidRDefault="00000000" w:rsidP="009A1F1B">
      <w:pPr>
        <w:spacing w:after="60" w:line="276" w:lineRule="auto"/>
        <w:ind w:left="1276" w:hanging="720"/>
        <w:jc w:val="both"/>
        <w:rPr>
          <w:rFonts w:ascii="Arial" w:eastAsia="Arial" w:hAnsi="Arial" w:cs="Arial"/>
          <w:color w:val="000000"/>
        </w:rPr>
      </w:pPr>
      <w:r w:rsidRPr="009A1F1B">
        <w:rPr>
          <w:rFonts w:ascii="Arial" w:eastAsia="Arial" w:hAnsi="Arial" w:cs="Arial"/>
          <w:color w:val="000000"/>
          <w:highlight w:val="green"/>
        </w:rPr>
        <w:t>6.12.5</w:t>
      </w:r>
      <w:r w:rsidRPr="009A1F1B">
        <w:rPr>
          <w:rFonts w:ascii="Arial" w:eastAsia="Arial" w:hAnsi="Arial" w:cs="Arial"/>
          <w:color w:val="000000"/>
          <w:highlight w:val="green"/>
        </w:rPr>
        <w:tab/>
      </w:r>
      <w:r w:rsidR="009A1F1B" w:rsidRPr="009A1F1B">
        <w:rPr>
          <w:rFonts w:ascii="Arial" w:eastAsia="Arial" w:hAnsi="Arial" w:cs="Arial"/>
          <w:color w:val="000000"/>
          <w:highlight w:val="green"/>
        </w:rPr>
        <w:t>Para los SBIA de riesgo alto, los contratos obligan al proveedor a entregar la documentación</w:t>
      </w:r>
      <w:r w:rsidR="009A1F1B" w:rsidRPr="009A1F1B">
        <w:rPr>
          <w:rFonts w:ascii="Arial" w:eastAsia="Arial" w:hAnsi="Arial" w:cs="Arial"/>
          <w:color w:val="000000"/>
          <w:highlight w:val="green"/>
        </w:rPr>
        <w:t xml:space="preserve"> </w:t>
      </w:r>
      <w:r w:rsidR="009A1F1B" w:rsidRPr="009A1F1B">
        <w:rPr>
          <w:rFonts w:ascii="Arial" w:eastAsia="Arial" w:hAnsi="Arial" w:cs="Arial"/>
          <w:color w:val="000000"/>
          <w:highlight w:val="green"/>
        </w:rPr>
        <w:t>técnica que permita comprender la lógica general del modelo y los factores que influyen en sus</w:t>
      </w:r>
      <w:r w:rsidR="009A1F1B" w:rsidRPr="009A1F1B">
        <w:rPr>
          <w:rFonts w:ascii="Arial" w:eastAsia="Arial" w:hAnsi="Arial" w:cs="Arial"/>
          <w:color w:val="000000"/>
          <w:highlight w:val="green"/>
        </w:rPr>
        <w:t xml:space="preserve"> </w:t>
      </w:r>
      <w:r w:rsidR="009A1F1B" w:rsidRPr="009A1F1B">
        <w:rPr>
          <w:rFonts w:ascii="Arial" w:eastAsia="Arial" w:hAnsi="Arial" w:cs="Arial"/>
          <w:color w:val="000000"/>
          <w:highlight w:val="green"/>
        </w:rPr>
        <w:t>resultados, en la medida necesaria para el cumplimiento de las obligaciones de transparencia y</w:t>
      </w:r>
      <w:r w:rsidR="009A1F1B" w:rsidRPr="009A1F1B">
        <w:rPr>
          <w:rFonts w:ascii="Arial" w:eastAsia="Arial" w:hAnsi="Arial" w:cs="Arial"/>
          <w:color w:val="000000"/>
          <w:highlight w:val="green"/>
        </w:rPr>
        <w:t xml:space="preserve"> </w:t>
      </w:r>
      <w:r w:rsidR="009A1F1B" w:rsidRPr="009A1F1B">
        <w:rPr>
          <w:rFonts w:ascii="Arial" w:eastAsia="Arial" w:hAnsi="Arial" w:cs="Arial"/>
          <w:color w:val="000000"/>
          <w:highlight w:val="green"/>
        </w:rPr>
        <w:t>explicabilidad de la SUNAT, evitando soluciones de caja negra no auditables.</w:t>
      </w:r>
    </w:p>
    <w:p w14:paraId="10D8630F" w14:textId="77777777" w:rsidR="00863A18" w:rsidRPr="00833CDE" w:rsidRDefault="00863A18" w:rsidP="00B23382">
      <w:pPr>
        <w:pStyle w:val="SubtituloDONI"/>
        <w:spacing w:line="276" w:lineRule="auto"/>
        <w:ind w:left="851"/>
        <w:rPr>
          <w:highlight w:val="lightGray"/>
        </w:rPr>
      </w:pPr>
      <w:r w:rsidRPr="00833CDE">
        <w:rPr>
          <w:highlight w:val="lightGray"/>
        </w:rPr>
        <w:t>6.13</w:t>
      </w:r>
      <w:r w:rsidRPr="00833CDE">
        <w:rPr>
          <w:highlight w:val="lightGray"/>
        </w:rPr>
        <w:tab/>
        <w:t>De la sensibilización, educación y capacitación</w:t>
      </w:r>
    </w:p>
    <w:p w14:paraId="02AA9A87"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 xml:space="preserve">La Intendencia Nacional de Recursos Humanos conduce las acciones de sensibilización, capacitación y gestión del cambio vinculadas al uso de sistemas </w:t>
      </w:r>
      <w:r w:rsidRPr="00833CDE">
        <w:rPr>
          <w:rFonts w:ascii="Arial" w:eastAsia="Arial" w:hAnsi="Arial" w:cs="Arial"/>
          <w:color w:val="000000"/>
          <w:highlight w:val="lightGray"/>
        </w:rPr>
        <w:lastRenderedPageBreak/>
        <w:t>basados en inteligencia artificial, de conformidad con las funciones establecidas en el Reglamento de Organización y Funciones de la SUNAT y con el apoyo técnico de la Comisión de Gobierno de IA.</w:t>
      </w:r>
    </w:p>
    <w:p w14:paraId="65F6E8E9" w14:textId="7EEC5B38"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6.13.1 Sensibilización</w:t>
      </w:r>
    </w:p>
    <w:p w14:paraId="4C521181" w14:textId="77777777" w:rsidR="00462A57" w:rsidRPr="00833CDE" w:rsidRDefault="00462A57" w:rsidP="00AB5DBB">
      <w:pPr>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Todo el personal de la SUNAT vinculado al diseño, desarrollo, implementación, evaluación o uso de sistemas basados en IA es sensibilizado respecto del uso seguro, responsable y ético de dichos sistemas, así como de los riesgos asociados y de las disposiciones establecidas en la Política de uso seguro, responsable y ético de los sistemas basados en IA de la SUNAT.</w:t>
      </w:r>
    </w:p>
    <w:p w14:paraId="03767110" w14:textId="77777777" w:rsidR="00462A57" w:rsidRPr="00833CDE" w:rsidRDefault="00462A57" w:rsidP="00AB5DBB">
      <w:pPr>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Las acciones de sensibilización consideran, como mínimo:</w:t>
      </w:r>
    </w:p>
    <w:p w14:paraId="31E5E6A5"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finalidad y los principios institucionales aplicables a los sistemas basados en IA.</w:t>
      </w:r>
    </w:p>
    <w:p w14:paraId="4379805E"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Los riesgos derivados de su diseño, desarrollo, implementación y uso.</w:t>
      </w:r>
    </w:p>
    <w:p w14:paraId="4C43874D"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protección de los derechos fundamentales de los administrados y la prevención de sesgos o resultados discriminatorios.</w:t>
      </w:r>
    </w:p>
    <w:p w14:paraId="3C9A30B7"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protección de la reserva tributaria, secreto comercial y demás obligaciones de confidencialidad aplicables.</w:t>
      </w:r>
    </w:p>
    <w:p w14:paraId="24701C8F" w14:textId="251548E5"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El impacto social y ambiental de los sistemas basados en IA.</w:t>
      </w:r>
    </w:p>
    <w:p w14:paraId="7C045AC2" w14:textId="14E92647" w:rsidR="00462A57" w:rsidRPr="00A402D8" w:rsidRDefault="00A402D8" w:rsidP="00A402D8">
      <w:pPr>
        <w:tabs>
          <w:tab w:val="left" w:pos="1276"/>
        </w:tabs>
        <w:spacing w:line="276" w:lineRule="auto"/>
        <w:ind w:left="1276"/>
        <w:jc w:val="both"/>
        <w:rPr>
          <w:rFonts w:ascii="Arial" w:eastAsia="Arial" w:hAnsi="Arial" w:cs="Arial"/>
          <w:color w:val="000000"/>
          <w:highlight w:val="green"/>
        </w:rPr>
      </w:pPr>
      <w:r w:rsidRPr="00A402D8">
        <w:rPr>
          <w:rFonts w:ascii="Arial" w:eastAsia="Arial" w:hAnsi="Arial" w:cs="Arial"/>
          <w:color w:val="000000"/>
          <w:highlight w:val="green"/>
        </w:rPr>
        <w:t>Esta disposición desarrolla el principio rector de sensibilización y educación en IA</w:t>
      </w:r>
      <w:r w:rsidRPr="00A402D8">
        <w:rPr>
          <w:rFonts w:ascii="Arial" w:eastAsia="Arial" w:hAnsi="Arial" w:cs="Arial"/>
          <w:color w:val="000000"/>
          <w:highlight w:val="green"/>
        </w:rPr>
        <w:t xml:space="preserve"> </w:t>
      </w:r>
      <w:r w:rsidRPr="00A402D8">
        <w:rPr>
          <w:rFonts w:ascii="Arial" w:eastAsia="Arial" w:hAnsi="Arial" w:cs="Arial"/>
          <w:color w:val="000000"/>
          <w:highlight w:val="green"/>
        </w:rPr>
        <w:t>establecido en el literal f) del artículo 7 del Reglamento, en concordancia con el numeral 7.3</w:t>
      </w:r>
      <w:r w:rsidRPr="00A402D8">
        <w:rPr>
          <w:rFonts w:ascii="Arial" w:eastAsia="Arial" w:hAnsi="Arial" w:cs="Arial"/>
          <w:color w:val="000000"/>
          <w:highlight w:val="green"/>
        </w:rPr>
        <w:t xml:space="preserve"> </w:t>
      </w:r>
      <w:r w:rsidRPr="00A402D8">
        <w:rPr>
          <w:rFonts w:ascii="Arial" w:eastAsia="Arial" w:hAnsi="Arial" w:cs="Arial"/>
          <w:color w:val="000000"/>
          <w:highlight w:val="green"/>
        </w:rPr>
        <w:t>de la NTP-ISO/IEC 42001:2025.</w:t>
      </w:r>
    </w:p>
    <w:p w14:paraId="74A770FE" w14:textId="1AFAF2C5"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6.13.2 Capacitación y fortalecimiento de capacidades</w:t>
      </w:r>
    </w:p>
    <w:p w14:paraId="56A6AAD2"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 xml:space="preserve">La Intendencia Nacional de Recursos Humanos fortalece de manera progresiva y sistemática las capacidades y competencias de su personal en materia de sistemas basados en IA mediante acciones formativas. </w:t>
      </w:r>
    </w:p>
    <w:p w14:paraId="52F41F84"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Las necesidades de capacitación asociadas a los distintos roles, los contenidos formativos, las modalidades de capacitación y los mecanismos de evaluación de resultados se determinan en el marco normativo del Plan de Desarrollo de las Personas.</w:t>
      </w:r>
    </w:p>
    <w:p w14:paraId="7A69F400"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Estas acciones consideran, como mínimo:</w:t>
      </w:r>
    </w:p>
    <w:p w14:paraId="4DC2972A"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Los fundamentos y el ciclo de vida de los sistemas basados en IA.</w:t>
      </w:r>
    </w:p>
    <w:p w14:paraId="3D2E0724"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gestión de riesgos y la seguridad de la información aplicables.</w:t>
      </w:r>
    </w:p>
    <w:p w14:paraId="29D4C49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ética, integridad y responsabilidad en el uso de la IA.</w:t>
      </w:r>
    </w:p>
    <w:p w14:paraId="6286F73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protección de datos personales.</w:t>
      </w:r>
    </w:p>
    <w:p w14:paraId="6EC73725"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protección de la reserva tributaria cuando los sistemas procesen información de los administrados.</w:t>
      </w:r>
    </w:p>
    <w:p w14:paraId="6B9B86CB"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Esta disposición se implementa conforme al numeral 28.5 del artículo 28 del Reglamento y en concordancia con el numeral 7.2 y el Anexo A.4 de la NTP</w:t>
      </w:r>
      <w:r w:rsidRPr="00833CDE">
        <w:rPr>
          <w:rFonts w:ascii="Arial" w:eastAsia="Arial" w:hAnsi="Arial" w:cs="Arial"/>
          <w:color w:val="000000"/>
          <w:highlight w:val="lightGray"/>
        </w:rPr>
        <w:noBreakHyphen/>
        <w:t>ISO/IEC 42001:2025.</w:t>
      </w:r>
    </w:p>
    <w:p w14:paraId="488EF96E" w14:textId="7CCFC609"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lastRenderedPageBreak/>
        <w:t>6.13.3 Gestión del cambio</w:t>
      </w:r>
    </w:p>
    <w:p w14:paraId="3003C927"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1C48AEFE" w14:textId="77777777"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Las acciones de gestión del cambio facilitan la consolidación de la Política institucional de uso seguro, responsable y ético de los sistemas basados en IA y del sistema de gestión de IA, promoviendo su integración en la gestión institucional y favoreciendo las condiciones organizacionales necesarias para su sostenibilidad y mejora continua, en concordancia con los numerales 28.1 y 28.2 del artículo 28 del Reglamento.</w:t>
      </w:r>
    </w:p>
    <w:p w14:paraId="69C7D64F" w14:textId="77777777" w:rsidR="000153F0" w:rsidRDefault="00000000">
      <w:pPr>
        <w:pStyle w:val="SubtituloDONI"/>
        <w:spacing w:line="276" w:lineRule="auto"/>
        <w:ind w:left="851"/>
      </w:pPr>
      <w:r>
        <w:rPr>
          <w:highlight w:val="yellow"/>
        </w:rPr>
        <w:t>6.14</w:t>
      </w:r>
      <w:r>
        <w:rPr>
          <w:highlight w:val="yellow"/>
        </w:rPr>
        <w:tab/>
        <w:t>De la ética y la integridad en los SBIA</w:t>
      </w:r>
    </w:p>
    <w:p w14:paraId="3275817F"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6.14.1</w:t>
      </w:r>
      <w:r>
        <w:rPr>
          <w:rFonts w:ascii="Arial" w:eastAsia="Arial" w:hAnsi="Arial" w:cs="Arial"/>
          <w:color w:val="000000"/>
          <w:highlight w:val="yellow"/>
        </w:rPr>
        <w:tab/>
        <w:t>En el desarrollo, la implementación y el uso de los SBIA, la SUNAT promueve la participación de equipos diversos y multidisciplinarios, garantiza el pleno respeto de los derechos humanos y evita que se generen resultados injustos o discriminatorios, considera el impacto social y ambiental, e implementa las mejores prácticas, estándares y normas técnicas para identificar y minimizar los sesgos de los algoritmos y de las bases de datos utilizados</w:t>
      </w:r>
      <w:r>
        <w:rPr>
          <w:rStyle w:val="Refdenotaalpie"/>
        </w:rPr>
        <w:footnoteReference w:id="13"/>
      </w:r>
      <w:r>
        <w:rPr>
          <w:rFonts w:ascii="Arial" w:eastAsia="Arial" w:hAnsi="Arial" w:cs="Arial"/>
          <w:color w:val="000000"/>
          <w:highlight w:val="yellow"/>
        </w:rPr>
        <w:t>.</w:t>
      </w:r>
    </w:p>
    <w:p w14:paraId="60F5B515" w14:textId="5D4632F9" w:rsidR="00836DA1" w:rsidRDefault="00000000" w:rsidP="002555BF">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r>
      <w:r>
        <w:rPr>
          <w:rFonts w:ascii="Arial" w:eastAsia="Arial" w:hAnsi="Arial" w:cs="Arial"/>
          <w:color w:val="000000"/>
          <w:highlight w:val="yellow"/>
        </w:rPr>
        <w:tab/>
      </w:r>
      <w:r w:rsidR="00A402D8" w:rsidRPr="00A402D8">
        <w:rPr>
          <w:rFonts w:ascii="Arial" w:eastAsia="Arial" w:hAnsi="Arial" w:cs="Arial"/>
          <w:color w:val="000000"/>
          <w:highlight w:val="green"/>
        </w:rPr>
        <w:t>La SUNAT promueve que su personal cumpla, en el desarrollo, la implementación y el uso de los SBIA, las normas del Código de Ética de la Función Pública, su Reglamento y las normas de integridad, así como las recomendaciones internacionales y los principios éticos de la Organización para la Cooperación y el Desarrollo Económico (OCDE) en materia de inteligencia artificial.</w:t>
      </w:r>
      <w:r w:rsidRPr="00A402D8">
        <w:rPr>
          <w:rStyle w:val="Refdenotaalpie"/>
          <w:highlight w:val="green"/>
        </w:rPr>
        <w:footnoteReference w:id="14"/>
      </w:r>
      <w:r w:rsidRPr="00A402D8">
        <w:rPr>
          <w:rFonts w:ascii="Arial" w:eastAsia="Arial" w:hAnsi="Arial" w:cs="Arial"/>
          <w:color w:val="000000"/>
          <w:highlight w:val="green"/>
        </w:rPr>
        <w:t>.</w:t>
      </w:r>
      <w:r w:rsidR="002555BF" w:rsidRPr="00A402D8">
        <w:rPr>
          <w:rFonts w:ascii="Arial" w:eastAsia="Arial" w:hAnsi="Arial" w:cs="Arial"/>
          <w:color w:val="000000"/>
          <w:highlight w:val="green"/>
        </w:rPr>
        <w:t xml:space="preserve"> </w:t>
      </w:r>
      <w:r w:rsidR="002555BF" w:rsidRPr="002555BF">
        <w:rPr>
          <w:rFonts w:ascii="Arial" w:eastAsia="Arial" w:hAnsi="Arial" w:cs="Arial"/>
          <w:color w:val="000000"/>
          <w:highlight w:val="green"/>
        </w:rPr>
        <w:t>La OII supervisa en los SBIA el cumplimiento de los principios rectores establecidos en el artículo 7 del Reglamento y de los compromisos de la Política de uso seguro, responsable y ético de los sistemas basados en inteligencia artificial en la SUNAT; evalúa los riesgos de sesgo y discriminación y administra el canal de consultas éticas en materia de IA</w:t>
      </w:r>
      <w:r w:rsidRPr="002555BF">
        <w:rPr>
          <w:rFonts w:ascii="Arial" w:eastAsia="Arial" w:hAnsi="Arial" w:cs="Arial"/>
          <w:color w:val="000000"/>
          <w:highlight w:val="green"/>
        </w:rPr>
        <w:t xml:space="preserve">. </w:t>
      </w:r>
      <w:r>
        <w:rPr>
          <w:rFonts w:ascii="Arial" w:eastAsia="Arial" w:hAnsi="Arial" w:cs="Arial"/>
          <w:color w:val="000000"/>
          <w:highlight w:val="yellow"/>
        </w:rPr>
        <w:t>Su opinión sobre la clasificación de riesgo consta conforme al numeral 6.2.2.</w:t>
      </w:r>
      <w:r w:rsidR="000E3950" w:rsidRPr="000E3950">
        <w:t xml:space="preserve"> </w:t>
      </w:r>
      <w:r w:rsidR="000E3950" w:rsidRPr="000E3950">
        <w:rPr>
          <w:rFonts w:ascii="Arial" w:eastAsia="Arial" w:hAnsi="Arial" w:cs="Arial"/>
          <w:color w:val="000000"/>
          <w:highlight w:val="green"/>
        </w:rPr>
        <w:t>Esta disposición desarrolla el numeral 28.9 del artículo 28 del Reglamento.</w:t>
      </w:r>
    </w:p>
    <w:p w14:paraId="42351527"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r>
      <w:r>
        <w:rPr>
          <w:rFonts w:ascii="Arial" w:eastAsia="Arial" w:hAnsi="Arial" w:cs="Arial"/>
          <w:color w:val="000000"/>
          <w:highlight w:val="yellow"/>
        </w:rPr>
        <w:tab/>
        <w:t>Los Lineamientos Éticos que apruebe la SGTD</w:t>
      </w:r>
      <w:r>
        <w:rPr>
          <w:rStyle w:val="Refdenotaalpie"/>
        </w:rPr>
        <w:footnoteReference w:id="15"/>
      </w:r>
      <w:r>
        <w:rPr>
          <w:rFonts w:ascii="Arial" w:eastAsia="Arial" w:hAnsi="Arial" w:cs="Arial"/>
          <w:color w:val="000000"/>
          <w:highlight w:val="yellow"/>
        </w:rPr>
        <w:t xml:space="preserve"> </w:t>
      </w:r>
      <w:proofErr w:type="gramStart"/>
      <w:r>
        <w:rPr>
          <w:rFonts w:ascii="Arial" w:eastAsia="Arial" w:hAnsi="Arial" w:cs="Arial"/>
          <w:color w:val="000000"/>
          <w:highlight w:val="yellow"/>
        </w:rPr>
        <w:t>son de aplicación</w:t>
      </w:r>
      <w:proofErr w:type="gramEnd"/>
      <w:r>
        <w:rPr>
          <w:rFonts w:ascii="Arial" w:eastAsia="Arial" w:hAnsi="Arial" w:cs="Arial"/>
          <w:color w:val="000000"/>
          <w:highlight w:val="yellow"/>
        </w:rPr>
        <w:t xml:space="preserve"> en la SUNAT desde su entrada en vigencia. La Comisión de Gobierno de IA evalúa su impacto en la presente directiva y propone al CGTD los ajustes que correspondan.</w:t>
      </w:r>
    </w:p>
    <w:p w14:paraId="0D4D1298" w14:textId="34B24A1F" w:rsidR="00326739" w:rsidRDefault="00326739" w:rsidP="002D136C">
      <w:pPr>
        <w:pStyle w:val="SubtituloDONI"/>
        <w:spacing w:line="276" w:lineRule="auto"/>
        <w:ind w:left="851"/>
        <w:rPr>
          <w:highlight w:val="lightGray"/>
        </w:rPr>
      </w:pPr>
      <w:r w:rsidRPr="002D136C">
        <w:rPr>
          <w:highlight w:val="lightGray"/>
        </w:rPr>
        <w:t>6.15 De la articulación con la formulación de iniciativas, proyectos e inversiones</w:t>
      </w:r>
    </w:p>
    <w:p w14:paraId="7C783529" w14:textId="77777777" w:rsidR="00B10C11" w:rsidRDefault="00B10C11" w:rsidP="00B10C11">
      <w:pPr>
        <w:tabs>
          <w:tab w:val="left" w:pos="567"/>
        </w:tabs>
        <w:spacing w:after="60" w:line="276" w:lineRule="auto"/>
        <w:ind w:left="567"/>
        <w:jc w:val="both"/>
        <w:rPr>
          <w:rFonts w:ascii="Arial" w:eastAsia="Arial" w:hAnsi="Arial" w:cs="Arial"/>
          <w:color w:val="000000"/>
        </w:rPr>
      </w:pPr>
      <w:r w:rsidRPr="00B10C11">
        <w:rPr>
          <w:rFonts w:ascii="Arial" w:eastAsia="Arial" w:hAnsi="Arial" w:cs="Arial"/>
          <w:color w:val="000000"/>
          <w:highlight w:val="green"/>
        </w:rPr>
        <w:t xml:space="preserve">Las disposiciones de este numeral establecen la verificación del componente de IA dentro de los instrumentos de gestión vigentes. La opinión de la Comisión de Gobierno </w:t>
      </w:r>
      <w:r w:rsidRPr="00B10C11">
        <w:rPr>
          <w:rFonts w:ascii="Arial" w:eastAsia="Arial" w:hAnsi="Arial" w:cs="Arial"/>
          <w:color w:val="000000"/>
          <w:highlight w:val="green"/>
        </w:rPr>
        <w:lastRenderedPageBreak/>
        <w:t>de IA no constituye un requisito adicional ni modifica los procesos, formatos, contenidos ni instancias de aprobación de dichos instrumentos ni de los sistemas administrativos del Estado: se incorpora a ellos como control del componente de IA.</w:t>
      </w:r>
    </w:p>
    <w:p w14:paraId="40184AE6" w14:textId="0B52A45D" w:rsidR="006D44AB" w:rsidRPr="006D44AB" w:rsidRDefault="00326739" w:rsidP="006D44AB">
      <w:pPr>
        <w:tabs>
          <w:tab w:val="left" w:pos="1276"/>
        </w:tabs>
        <w:spacing w:after="60" w:line="276" w:lineRule="auto"/>
        <w:ind w:left="1276" w:hanging="709"/>
        <w:jc w:val="both"/>
        <w:rPr>
          <w:rFonts w:ascii="Arial" w:hAnsi="Arial" w:cs="Arial"/>
          <w:highlight w:val="green"/>
        </w:rPr>
      </w:pPr>
      <w:r w:rsidRPr="006D44AB">
        <w:rPr>
          <w:rFonts w:ascii="Arial" w:hAnsi="Arial" w:cs="Arial"/>
          <w:highlight w:val="green"/>
        </w:rPr>
        <w:t>6.15.1</w:t>
      </w:r>
      <w:r w:rsidR="00EF6D32" w:rsidRPr="006D44AB">
        <w:rPr>
          <w:rFonts w:ascii="Arial" w:hAnsi="Arial" w:cs="Arial"/>
          <w:highlight w:val="green"/>
        </w:rPr>
        <w:t xml:space="preserve"> </w:t>
      </w:r>
      <w:r w:rsidR="006D44AB" w:rsidRPr="006D44AB">
        <w:rPr>
          <w:rFonts w:ascii="Arial" w:hAnsi="Arial" w:cs="Arial"/>
          <w:highlight w:val="green"/>
        </w:rPr>
        <w:t>Toda iniciativa, requerimiento o proyecto que incorpore o prevea un componente basado en IA requiere la opinión técnica previa de la Comisión de Gobierno de IA sobre dicho componente, cualquiera sea el instrumento de gestión bajo el cual se formule, ejecute o modifique. La opinión se emite sobre la Ficha de Evaluación de Caso de Uso (Anexo N.° 4), adecuada a la naturaleza y magnitud de la iniciativa, requerimiento o proyecto.</w:t>
      </w:r>
      <w:r w:rsidR="006D44AB" w:rsidRPr="006D44AB">
        <w:rPr>
          <w:rFonts w:ascii="Arial" w:hAnsi="Arial" w:cs="Arial"/>
          <w:highlight w:val="green"/>
        </w:rPr>
        <w:t xml:space="preserve"> </w:t>
      </w:r>
      <w:r w:rsidR="006D44AB" w:rsidRPr="006D44AB">
        <w:rPr>
          <w:rFonts w:ascii="Arial" w:hAnsi="Arial" w:cs="Arial"/>
          <w:highlight w:val="green"/>
        </w:rPr>
        <w:t>La opinión comprende la pertinencia del uso de inteligencia artificial y la clasificación de riesgo del componente, conforme al Anexo N.° 2 y a los artículos 22 a 24 del RLIA. Determinar la pertinencia es establecer si el resultado esperado requiere inteligencia artificial o se alcanza sin ella, conforme al numeral 5.1.4. Los controles aplicables se determinan a partir de la clasificación, conforme a los numerales 6.6, 6.9 y 6.10. La opinión no comprende la generación de valor, el costo, la prioridad ni la viabilidad presupuestal de la iniciativa, que corresponden a los instrumentos de gestión respectivos y a las instancias competentes.</w:t>
      </w:r>
      <w:r w:rsidR="006D44AB" w:rsidRPr="006D44AB">
        <w:rPr>
          <w:rFonts w:ascii="Arial" w:hAnsi="Arial" w:cs="Arial"/>
          <w:highlight w:val="green"/>
        </w:rPr>
        <w:t xml:space="preserve"> </w:t>
      </w:r>
      <w:r w:rsidR="006D44AB" w:rsidRPr="006D44AB">
        <w:rPr>
          <w:rFonts w:ascii="Arial" w:hAnsi="Arial" w:cs="Arial"/>
          <w:highlight w:val="green"/>
        </w:rPr>
        <w:t>La opinión adopta uno de los siguientes pronunciamientos:</w:t>
      </w:r>
    </w:p>
    <w:p w14:paraId="7A2BAE2B" w14:textId="502E9FE5" w:rsidR="006D44AB" w:rsidRPr="006D44AB" w:rsidRDefault="006D44AB" w:rsidP="006D44AB">
      <w:pPr>
        <w:pStyle w:val="Prrafodelista"/>
        <w:numPr>
          <w:ilvl w:val="1"/>
          <w:numId w:val="30"/>
        </w:numPr>
        <w:tabs>
          <w:tab w:val="left" w:pos="1276"/>
        </w:tabs>
        <w:spacing w:before="0" w:after="0" w:line="276" w:lineRule="auto"/>
        <w:ind w:left="1636"/>
        <w:rPr>
          <w:b w:val="0"/>
          <w:bCs w:val="0"/>
          <w:highlight w:val="green"/>
        </w:rPr>
      </w:pPr>
      <w:r w:rsidRPr="006D44AB">
        <w:rPr>
          <w:b w:val="0"/>
          <w:bCs w:val="0"/>
          <w:highlight w:val="green"/>
        </w:rPr>
        <w:t>Favorable.</w:t>
      </w:r>
    </w:p>
    <w:p w14:paraId="51F21954" w14:textId="3EEB5A9B"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sidRPr="006D44AB">
        <w:rPr>
          <w:b w:val="0"/>
          <w:bCs w:val="0"/>
          <w:highlight w:val="green"/>
        </w:rPr>
        <w:t>Favorable con condiciones, que identifica los controles que la clasificación de riesgo determina y cuya implementación se verifica en el hito de aprobación previo al despliegue, conforme al numeral 6.1.2. Los SBIA clasificados de riesgo alto reciben este pronunciamiento.</w:t>
      </w:r>
    </w:p>
    <w:p w14:paraId="771DA7B9" w14:textId="0C048DFE"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sidRPr="006D44AB">
        <w:rPr>
          <w:b w:val="0"/>
          <w:bCs w:val="0"/>
          <w:highlight w:val="green"/>
        </w:rPr>
        <w:t>No favorable, cuando el uso es indebido conforme al artículo 23 del RLIA, contraviene la Política de Uso Seguro, Responsable y Ético de los SBIA o la normativa vigente, o el resultado esperado se alcanza sin inteligencia artificial. En este último caso la iniciativa puede continuar sin el componente de IA.</w:t>
      </w:r>
    </w:p>
    <w:p w14:paraId="0D3CACE0" w14:textId="77777777" w:rsidR="006D44AB" w:rsidRDefault="006D44AB" w:rsidP="006D44AB">
      <w:pPr>
        <w:tabs>
          <w:tab w:val="left" w:pos="1276"/>
        </w:tabs>
        <w:spacing w:after="60" w:line="276" w:lineRule="auto"/>
        <w:ind w:left="1276"/>
        <w:jc w:val="both"/>
        <w:rPr>
          <w:rFonts w:ascii="Arial" w:hAnsi="Arial" w:cs="Arial"/>
        </w:rPr>
      </w:pPr>
      <w:r w:rsidRPr="006D44AB">
        <w:rPr>
          <w:rFonts w:ascii="Arial" w:hAnsi="Arial" w:cs="Arial"/>
          <w:highlight w:val="green"/>
        </w:rPr>
        <w:t>El uso indebido está prohibido por el artículo 23 del RLIA y los controles reforzados son obligatorios por su artículo 24: en ambos casos obliga la norma, no la opinión. En los demás casos la opinión sustenta la decisión, pero no la reemplaza. La aprobación corresponde, en cada caso, a la instancia competente conforme al ROF, a las normas de delegación de facultades, a los instrumentos de gestión institucionales o a la normativa de los sistemas administrativos del Estado.</w:t>
      </w:r>
    </w:p>
    <w:p w14:paraId="036045F6" w14:textId="666A0B34" w:rsidR="00326739" w:rsidRPr="002D136C" w:rsidRDefault="00326739" w:rsidP="006D44AB">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6.15.2 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0492C386" w14:textId="5D59EEA9" w:rsidR="001E5BAD" w:rsidRPr="001E5BAD" w:rsidRDefault="00326739"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highlight w:val="green"/>
        </w:rPr>
        <w:t xml:space="preserve">6.15.3 </w:t>
      </w:r>
      <w:r w:rsidR="001E5BAD" w:rsidRPr="001E5BAD">
        <w:rPr>
          <w:rFonts w:ascii="Arial" w:hAnsi="Arial" w:cs="Arial"/>
          <w:highlight w:val="green"/>
        </w:rPr>
        <w:t xml:space="preserve">En los programas y proyectos institucionales conforme al MGPP, la opinión de la Comisión de Gobierno de IA se recaba desde que se identifica un componente basado en IA, en cualquier fase, y antes de la decisión que autoriza avanzar a la fase siguiente. La opinión se incorpora al expediente del caso de negocio o del plan de gestión, según corresponda, junto con las </w:t>
      </w:r>
      <w:r w:rsidR="001E5BAD" w:rsidRPr="001E5BAD">
        <w:rPr>
          <w:rFonts w:ascii="Arial" w:hAnsi="Arial" w:cs="Arial"/>
          <w:highlight w:val="green"/>
        </w:rPr>
        <w:lastRenderedPageBreak/>
        <w:t>validaciones y opiniones que el MGPP ya prevé, y no requiere una etapa ni una instancia adicionales. Aplica en particular:</w:t>
      </w:r>
    </w:p>
    <w:p w14:paraId="0D63ACA5" w14:textId="4C9667A1" w:rsidR="001E5BAD" w:rsidRPr="001E5BAD" w:rsidRDefault="001E5BAD" w:rsidP="001E5BAD">
      <w:pPr>
        <w:pStyle w:val="Prrafodelista"/>
        <w:numPr>
          <w:ilvl w:val="1"/>
          <w:numId w:val="32"/>
        </w:numPr>
        <w:tabs>
          <w:tab w:val="left" w:pos="1276"/>
        </w:tabs>
        <w:spacing w:before="0" w:after="60" w:line="276" w:lineRule="auto"/>
        <w:ind w:left="1636"/>
        <w:rPr>
          <w:b w:val="0"/>
          <w:bCs w:val="0"/>
          <w:highlight w:val="green"/>
        </w:rPr>
      </w:pPr>
      <w:r w:rsidRPr="001E5BAD">
        <w:rPr>
          <w:b w:val="0"/>
          <w:bCs w:val="0"/>
          <w:highlight w:val="green"/>
        </w:rPr>
        <w:t>en el caso de negocio en su conceptualización inicial, antes de que el Superintendente Nacional Adjunto autorice su presentación al Superintendente Nacional;</w:t>
      </w:r>
    </w:p>
    <w:p w14:paraId="75E77F99" w14:textId="40E9301B"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el caso de negocio detallado y en el plan de gestión del proyecto, cuando el detalle de los componentes funcionales revele un componente de IA no previsto;</w:t>
      </w:r>
    </w:p>
    <w:p w14:paraId="05C9C4C7" w14:textId="25CB3C35"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el modelamiento del proceso de negocio, antes de su remisión a la INSI para desarrollo, cuando este revele un componente de IA no declarado en el alcance inicial;</w:t>
      </w:r>
    </w:p>
    <w:p w14:paraId="063D2EF5" w14:textId="211273D3"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la actualización del caso de negocio prevista en el MGPP, cuando esta incorpore un componente de IA;</w:t>
      </w:r>
    </w:p>
    <w:p w14:paraId="36353031" w14:textId="7F8A4F40"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las solicitudes de cambio que incorporen, sustituyan o modifiquen un componente de IA, impacten o no los entregables y los hitos de control.</w:t>
      </w:r>
    </w:p>
    <w:p w14:paraId="126FFF39" w14:textId="223BB89A" w:rsidR="001E5BAD"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La INSI, en el ejercicio de las competencias que el MGPP le reconoce en los momentos señalados, advierte la presencia de un componente de IA y la comunica a la Comisión de Gobierno de IA. La opinión de la Comisión es distinta de la validación que la INSI emite en el ámbito de sus competencias: ambas se incorporan al expediente y ninguna sustituye a la otra.</w:t>
      </w:r>
    </w:p>
    <w:p w14:paraId="037C5663" w14:textId="6825A69D" w:rsidR="001E5BAD"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Cuando se requiera sustentar la opinión ante el Comité de Proyecto, concurre a la sesión el Coordinador de la Comisión de Gobierno de IA o el miembro que esta designe. Su concurrencia no altera la composición ni las competencias del Comité de Proyecto.</w:t>
      </w:r>
    </w:p>
    <w:p w14:paraId="1F688DEA" w14:textId="0775B77F" w:rsidR="00326739"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La unidad de organización competente del MGPP incorpora en dicho instrumento el momento y la instancia ante la que se recaba la opinión, conforme al numeral 7.6.</w:t>
      </w:r>
    </w:p>
    <w:p w14:paraId="09190F8C" w14:textId="551338CC" w:rsidR="00326739" w:rsidRPr="002D136C" w:rsidRDefault="00326739" w:rsidP="002D136C">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6.15.4 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observa el ciclo de vida del numeral 6.1.</w:t>
      </w:r>
    </w:p>
    <w:p w14:paraId="7A178181" w14:textId="5BB75195" w:rsidR="00670027" w:rsidRDefault="00326739" w:rsidP="00EF2B54">
      <w:pPr>
        <w:spacing w:after="60" w:line="276" w:lineRule="auto"/>
        <w:ind w:left="1276" w:hanging="709"/>
        <w:jc w:val="both"/>
        <w:rPr>
          <w:rFonts w:ascii="Arial" w:hAnsi="Arial" w:cs="Arial"/>
        </w:rPr>
      </w:pPr>
      <w:r w:rsidRPr="00EF2B54">
        <w:rPr>
          <w:rFonts w:ascii="Arial" w:hAnsi="Arial" w:cs="Arial"/>
          <w:highlight w:val="green"/>
        </w:rPr>
        <w:t>6.15.5</w:t>
      </w:r>
      <w:r w:rsidR="00A72414" w:rsidRPr="00EF2B54">
        <w:rPr>
          <w:rFonts w:ascii="Arial" w:hAnsi="Arial" w:cs="Arial"/>
          <w:highlight w:val="green"/>
        </w:rPr>
        <w:t xml:space="preserve"> </w:t>
      </w:r>
      <w:r w:rsidR="00EF2B54" w:rsidRPr="00EF2B54">
        <w:rPr>
          <w:rFonts w:ascii="Arial" w:hAnsi="Arial" w:cs="Arial"/>
          <w:highlight w:val="green"/>
        </w:rPr>
        <w:t>Las unidades de organización competentes de cada instrumento de gestión incorporan en sus</w:t>
      </w:r>
      <w:r w:rsidR="00EF2B54" w:rsidRPr="00EF2B54">
        <w:rPr>
          <w:rFonts w:ascii="Arial" w:hAnsi="Arial" w:cs="Arial"/>
          <w:highlight w:val="green"/>
        </w:rPr>
        <w:t xml:space="preserve"> </w:t>
      </w:r>
      <w:r w:rsidR="00EF2B54" w:rsidRPr="00EF2B54">
        <w:rPr>
          <w:rFonts w:ascii="Arial" w:hAnsi="Arial" w:cs="Arial"/>
          <w:highlight w:val="green"/>
        </w:rPr>
        <w:t>documentos normativos la verificación del componente de IA y la opinión de la Comisión de</w:t>
      </w:r>
      <w:r w:rsidR="00EF2B54" w:rsidRPr="00EF2B54">
        <w:rPr>
          <w:rFonts w:ascii="Arial" w:hAnsi="Arial" w:cs="Arial"/>
          <w:highlight w:val="green"/>
        </w:rPr>
        <w:t xml:space="preserve"> </w:t>
      </w:r>
      <w:r w:rsidR="00EF2B54" w:rsidRPr="00EF2B54">
        <w:rPr>
          <w:rFonts w:ascii="Arial" w:hAnsi="Arial" w:cs="Arial"/>
          <w:highlight w:val="green"/>
        </w:rPr>
        <w:t>Gobierno de IA, conforme al numeral 7.6. Esta incorporación alcanza al Modelo de Gestión de</w:t>
      </w:r>
      <w:r w:rsidR="00EF2B54" w:rsidRPr="00EF2B54">
        <w:rPr>
          <w:rFonts w:ascii="Arial" w:hAnsi="Arial" w:cs="Arial"/>
          <w:highlight w:val="green"/>
        </w:rPr>
        <w:t xml:space="preserve"> </w:t>
      </w:r>
      <w:r w:rsidR="00EF2B54" w:rsidRPr="00EF2B54">
        <w:rPr>
          <w:rFonts w:ascii="Arial" w:hAnsi="Arial" w:cs="Arial"/>
          <w:highlight w:val="green"/>
        </w:rPr>
        <w:t>Proyectos y Portafolio y a la gestión de la demanda informática. La presente directiva no</w:t>
      </w:r>
      <w:r w:rsidR="00EF2B54" w:rsidRPr="00EF2B54">
        <w:rPr>
          <w:rFonts w:ascii="Arial" w:hAnsi="Arial" w:cs="Arial"/>
          <w:highlight w:val="green"/>
        </w:rPr>
        <w:t xml:space="preserve"> </w:t>
      </w:r>
      <w:r w:rsidR="00EF2B54" w:rsidRPr="00EF2B54">
        <w:rPr>
          <w:rFonts w:ascii="Arial" w:hAnsi="Arial" w:cs="Arial"/>
          <w:highlight w:val="green"/>
        </w:rPr>
        <w:t>sustituye dichos instrumentos.</w:t>
      </w:r>
    </w:p>
    <w:p w14:paraId="4D30DF90" w14:textId="0E3094D1" w:rsidR="000153F0" w:rsidRPr="00A72414" w:rsidRDefault="00670027" w:rsidP="00A72414">
      <w:pPr>
        <w:spacing w:after="60" w:line="276" w:lineRule="auto"/>
        <w:ind w:left="1276" w:hanging="709"/>
        <w:jc w:val="both"/>
        <w:rPr>
          <w:rFonts w:ascii="Arial" w:eastAsia="Arial" w:hAnsi="Arial" w:cs="Arial"/>
          <w:color w:val="000000"/>
          <w:highlight w:val="yellow"/>
        </w:rPr>
      </w:pPr>
      <w:r w:rsidRPr="00670027">
        <w:rPr>
          <w:rFonts w:ascii="Arial" w:hAnsi="Arial" w:cs="Arial"/>
          <w:highlight w:val="lightGray"/>
        </w:rPr>
        <w:t xml:space="preserve">6.15.6 La presente directiva se articula con la normativa institucional de gobernanza de datos y analítica. Cuando un producto analítico incorpore un sistema basado en IA, este se sujeta al ciclo de vida, la clasificación de riesgo, la evaluación de impacto algorítmico, el registro en el Inventario Institucional de SBIA y las obligaciones de transparencia y supervisión humana previstas en la presente </w:t>
      </w:r>
      <w:r w:rsidRPr="00670027">
        <w:rPr>
          <w:rFonts w:ascii="Arial" w:hAnsi="Arial" w:cs="Arial"/>
          <w:highlight w:val="lightGray"/>
        </w:rPr>
        <w:lastRenderedPageBreak/>
        <w:t>directiva. La certificación del producto analítico requiere, como insumo previo, la aprobación que corresponda conforme al numeral 6.1.2. La calidad, el linaje, los metadatos y la certificación de los datos que alimentan el sistema se rigen por la normativa de gobernanza de datos y analítica.</w:t>
      </w:r>
      <w:r w:rsidR="00326739" w:rsidRPr="00A72414">
        <w:rPr>
          <w:rFonts w:ascii="Arial" w:hAnsi="Arial" w:cs="Arial"/>
        </w:rPr>
        <w:br w:type="page"/>
      </w:r>
    </w:p>
    <w:p w14:paraId="66FD7798" w14:textId="77777777" w:rsidR="00863A18" w:rsidRPr="00923C59" w:rsidRDefault="00863A18" w:rsidP="00B23382">
      <w:pPr>
        <w:pStyle w:val="Ttulo1"/>
        <w:spacing w:line="276" w:lineRule="auto"/>
        <w:rPr>
          <w:rFonts w:cs="Arial"/>
          <w:szCs w:val="22"/>
        </w:rPr>
      </w:pPr>
      <w:bookmarkStart w:id="7" w:name="_Toc235003967"/>
      <w:r>
        <w:rPr>
          <w:rFonts w:cs="Arial"/>
          <w:bCs/>
          <w:color w:val="000000"/>
          <w:szCs w:val="22"/>
        </w:rPr>
        <w:lastRenderedPageBreak/>
        <w:t>DISPOSICIONES FINALES</w:t>
      </w:r>
      <w:bookmarkEnd w:id="7"/>
    </w:p>
    <w:p w14:paraId="24E1EBB8" w14:textId="77777777" w:rsidR="00ED2DC8" w:rsidRPr="00923C59" w:rsidRDefault="00ED2DC8" w:rsidP="00B23382">
      <w:pPr>
        <w:pStyle w:val="SubtituloDONI"/>
        <w:spacing w:line="276" w:lineRule="auto"/>
        <w:ind w:left="851"/>
        <w:rPr>
          <w:b w:val="0"/>
          <w:bCs w:val="0"/>
        </w:rPr>
      </w:pPr>
      <w:r>
        <w:rPr>
          <w:b w:val="0"/>
          <w:bCs w:val="0"/>
        </w:rPr>
        <w:t>7.1</w:t>
      </w:r>
      <w:r>
        <w:rPr>
          <w:b w:val="0"/>
          <w:bCs w:val="0"/>
        </w:rPr>
        <w:tab/>
        <w:t>La presente directiva entra en vigencia al día siguiente de la emisión de la Resolución de Superintendencia que la aprueba.</w:t>
      </w:r>
    </w:p>
    <w:p w14:paraId="0A1CC218" w14:textId="77777777" w:rsidR="00ED2DC8" w:rsidRPr="00923C59" w:rsidRDefault="00ED2DC8" w:rsidP="00B23382">
      <w:pPr>
        <w:pStyle w:val="SubtituloDONI"/>
        <w:spacing w:line="276" w:lineRule="auto"/>
        <w:ind w:left="851"/>
        <w:rPr>
          <w:b w:val="0"/>
          <w:bCs w:val="0"/>
        </w:rPr>
      </w:pPr>
      <w:r>
        <w:rPr>
          <w:b w:val="0"/>
          <w:bCs w:val="0"/>
        </w:rPr>
        <w:t>7.2</w:t>
      </w:r>
      <w:r>
        <w:rPr>
          <w:b w:val="0"/>
          <w:bCs w:val="0"/>
        </w:rPr>
        <w:tab/>
        <w:t>La actualización de la presente directiva es propuesta por la Comisión de Gobierno de IA, conforme a la METDONI.</w:t>
      </w:r>
    </w:p>
    <w:p w14:paraId="0C4EDACE" w14:textId="77777777" w:rsidR="0018147B" w:rsidRDefault="00000000" w:rsidP="00CB040E">
      <w:pPr>
        <w:pStyle w:val="SubtituloDONI"/>
        <w:spacing w:before="0" w:after="0" w:line="276" w:lineRule="auto"/>
        <w:ind w:left="851"/>
        <w:rPr>
          <w:b w:val="0"/>
          <w:bCs w:val="0"/>
        </w:rPr>
      </w:pPr>
      <w:r>
        <w:rPr>
          <w:b w:val="0"/>
          <w:bCs w:val="0"/>
          <w:highlight w:val="yellow"/>
        </w:rPr>
        <w:t>7.3</w:t>
      </w:r>
      <w:r>
        <w:rPr>
          <w:b w:val="0"/>
          <w:bCs w:val="0"/>
          <w:highlight w:val="yellow"/>
        </w:rPr>
        <w:tab/>
        <w:t>La Comisión de Gobierno de IA se conforma mediante Resolución de Superintendencia, a propuesta del CGTD, conforme al numeral 5.3 de la presente directiva. El CGTD designa a su Coordinador.</w:t>
      </w:r>
    </w:p>
    <w:p w14:paraId="482CBA45" w14:textId="2A1080FA" w:rsidR="00CB040E" w:rsidRPr="00CB040E" w:rsidRDefault="00CB040E" w:rsidP="00180A95">
      <w:pPr>
        <w:pStyle w:val="SubtituloDONI"/>
        <w:spacing w:line="276" w:lineRule="auto"/>
        <w:ind w:left="851"/>
        <w:rPr>
          <w:b w:val="0"/>
          <w:bCs w:val="0"/>
          <w:highlight w:val="cyan"/>
        </w:rPr>
      </w:pPr>
      <w:r>
        <w:rPr>
          <w:b w:val="0"/>
          <w:bCs w:val="0"/>
          <w:highlight w:val="cyan"/>
        </w:rPr>
        <w:t>7.4</w:t>
      </w:r>
      <w:r>
        <w:rPr>
          <w:b w:val="0"/>
          <w:bCs w:val="0"/>
          <w:highlight w:val="cyan"/>
        </w:rPr>
        <w:tab/>
      </w:r>
      <w:r w:rsidR="00180A95" w:rsidRPr="00180A95">
        <w:rPr>
          <w:b w:val="0"/>
          <w:bCs w:val="0"/>
          <w:highlight w:val="cyan"/>
        </w:rPr>
        <w:t>El Sistema de Gestión de Inteligencia Artificial (SGIA) de la SUNAT toma como marco de referencia la NTP-ISO/IEC 42001:2025, adaptada al alcance, la complejidad y el contexto institucional.</w:t>
      </w:r>
      <w:r w:rsidRPr="00180A95">
        <w:rPr>
          <w:b w:val="0"/>
          <w:bCs w:val="0"/>
          <w:highlight w:val="cyan"/>
        </w:rPr>
        <w:t xml:space="preserve"> La </w:t>
      </w:r>
      <w:r>
        <w:rPr>
          <w:b w:val="0"/>
          <w:bCs w:val="0"/>
          <w:highlight w:val="cyan"/>
        </w:rPr>
        <w:t>Comisión de Gobierno de IA propone al CGTD el plan de implementación del SGIA, con hitos y responsables, y coordina los lineamientos técnicos que correspondan.</w:t>
      </w:r>
    </w:p>
    <w:p w14:paraId="76F2D410" w14:textId="77777777" w:rsidR="00ED2DC8" w:rsidRPr="00923C59" w:rsidRDefault="00ED2DC8" w:rsidP="00B23382">
      <w:pPr>
        <w:pStyle w:val="SubtituloDONI"/>
        <w:spacing w:line="276" w:lineRule="auto"/>
        <w:ind w:left="851"/>
        <w:rPr>
          <w:b w:val="0"/>
          <w:bCs w:val="0"/>
        </w:rPr>
      </w:pPr>
      <w:r>
        <w:rPr>
          <w:b w:val="0"/>
          <w:bCs w:val="0"/>
        </w:rPr>
        <w:t>7.5</w:t>
      </w:r>
      <w:r>
        <w:rPr>
          <w:b w:val="0"/>
          <w:bCs w:val="0"/>
        </w:rPr>
        <w:tab/>
        <w:t xml:space="preserve">La Comisión de Gobierno de IA, con el apoyo técnico de la INSI, implementa el Inventario Institucional de SBIA. </w:t>
      </w:r>
    </w:p>
    <w:p w14:paraId="5CBE5256" w14:textId="106BA7D5" w:rsidR="00836DA1" w:rsidRDefault="00000000">
      <w:pPr>
        <w:pStyle w:val="SubtituloDONI"/>
        <w:spacing w:line="276" w:lineRule="auto"/>
        <w:ind w:left="851"/>
        <w:rPr>
          <w:b w:val="0"/>
          <w:bCs w:val="0"/>
        </w:rPr>
      </w:pPr>
      <w:r w:rsidRPr="003E2526">
        <w:rPr>
          <w:b w:val="0"/>
          <w:bCs w:val="0"/>
          <w:color w:val="000000"/>
          <w:highlight w:val="cyan"/>
        </w:rPr>
        <w:t>7.6</w:t>
      </w:r>
      <w:r>
        <w:rPr>
          <w:color w:val="000000"/>
          <w:highlight w:val="cyan"/>
        </w:rPr>
        <w:tab/>
      </w:r>
      <w:r>
        <w:rPr>
          <w:b w:val="0"/>
          <w:bCs w:val="0"/>
          <w:color w:val="000000"/>
          <w:highlight w:val="cyan"/>
        </w:rPr>
        <w:t xml:space="preserve">Las unidades de organización a las que la presente directiva asigna una responsabilidad desarrollan y aprueban, en el ámbito de las competencias que les reconoce el ROF, los documentos normativos institucionales de menor rango (metodologías, guías metodológicas, procedimientos, instructivos y lineamientos temporales) que establecen la forma de ejecutar dicha responsabilidad, conforme a la METDONI. </w:t>
      </w:r>
      <w:r w:rsidR="002D136C" w:rsidRPr="006C344B">
        <w:rPr>
          <w:b w:val="0"/>
          <w:bCs w:val="0"/>
          <w:color w:val="000000"/>
          <w:highlight w:val="lightGray"/>
        </w:rPr>
        <w:t>Dichos documentos desarrollan la aplicación de lo dispuesto en la presente directiva y no modifican sus disposiciones, sus Anexos ni las competencias de aprobación que establece</w:t>
      </w:r>
      <w:r w:rsidR="006C344B" w:rsidRPr="006C344B">
        <w:rPr>
          <w:b w:val="0"/>
          <w:bCs w:val="0"/>
          <w:color w:val="000000"/>
          <w:highlight w:val="lightGray"/>
        </w:rPr>
        <w:t xml:space="preserve">. </w:t>
      </w:r>
      <w:r w:rsidR="006C344B" w:rsidRPr="006C344B">
        <w:rPr>
          <w:b w:val="0"/>
          <w:bCs w:val="0"/>
          <w:color w:val="000000"/>
          <w:highlight w:val="cyan"/>
        </w:rPr>
        <w:t>Los encargos son los previstos en las disposiciones específicas de la presente directiva; su plazo se establece mediante acuerdo del Comité de Gobierno y Transformación Digital.</w:t>
      </w:r>
      <w:r w:rsidR="006C344B" w:rsidRPr="006C344B">
        <w:rPr>
          <w:rFonts w:asciiTheme="minorHAnsi" w:eastAsiaTheme="minorEastAsia" w:hAnsiTheme="minorHAnsi" w:cstheme="minorBidi"/>
          <w:b w:val="0"/>
          <w:bCs w:val="0"/>
          <w:highlight w:val="cyan"/>
        </w:rPr>
        <w:t xml:space="preserve"> </w:t>
      </w:r>
      <w:r w:rsidR="006C344B" w:rsidRPr="006C344B">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0C699612" w14:textId="77777777" w:rsidR="00ED2DC8" w:rsidRPr="00923C59" w:rsidRDefault="00ED2DC8" w:rsidP="00B23382">
      <w:pPr>
        <w:pStyle w:val="SubtituloDONI"/>
        <w:spacing w:line="276" w:lineRule="auto"/>
        <w:ind w:left="851"/>
        <w:rPr>
          <w:b w:val="0"/>
          <w:bCs w:val="0"/>
        </w:rPr>
      </w:pPr>
      <w:r>
        <w:rPr>
          <w:b w:val="0"/>
          <w:bCs w:val="0"/>
        </w:rPr>
        <w:t>7.7</w:t>
      </w:r>
      <w:r>
        <w:rPr>
          <w:b w:val="0"/>
          <w:bCs w:val="0"/>
        </w:rPr>
        <w:tab/>
        <w:t xml:space="preserve">El CGTD resuelve las situaciones no previstas, sin perjuicio de la aplicación </w:t>
      </w:r>
      <w:r>
        <w:rPr>
          <w:b w:val="0"/>
          <w:bCs w:val="0"/>
          <w:highlight w:val="cyan"/>
        </w:rPr>
        <w:t>de</w:t>
      </w:r>
      <w:r>
        <w:rPr>
          <w:b w:val="0"/>
          <w:bCs w:val="0"/>
        </w:rPr>
        <w:t xml:space="preserve"> la normativa vigente.</w:t>
      </w:r>
    </w:p>
    <w:p w14:paraId="49AEE86F" w14:textId="77777777" w:rsidR="0018147B" w:rsidRDefault="00000000">
      <w:pPr>
        <w:pStyle w:val="SubtituloDONI"/>
        <w:spacing w:line="276" w:lineRule="auto"/>
        <w:ind w:left="851"/>
        <w:rPr>
          <w:b w:val="0"/>
          <w:bCs w:val="0"/>
        </w:rPr>
      </w:pPr>
      <w:r>
        <w:rPr>
          <w:b w:val="0"/>
          <w:bCs w:val="0"/>
        </w:rPr>
        <w:t>7.8</w:t>
      </w:r>
      <w:r>
        <w:rPr>
          <w:b w:val="0"/>
          <w:bCs w:val="0"/>
        </w:rPr>
        <w:tab/>
        <w:t>Las referencias a normas técnicas aplican a sus versiones vigentes o a las que las sustituyan.</w:t>
      </w:r>
    </w:p>
    <w:p w14:paraId="5617D77E" w14:textId="671D3A1F" w:rsidR="0018147B" w:rsidRDefault="00000000" w:rsidP="00174519">
      <w:pPr>
        <w:pStyle w:val="SubtituloDONI"/>
        <w:spacing w:line="276" w:lineRule="auto"/>
        <w:ind w:left="851"/>
        <w:rPr>
          <w:b w:val="0"/>
          <w:bCs w:val="0"/>
        </w:rPr>
      </w:pPr>
      <w:r w:rsidRPr="00174519">
        <w:rPr>
          <w:b w:val="0"/>
          <w:bCs w:val="0"/>
          <w:highlight w:val="lightGray"/>
        </w:rPr>
        <w:t>7.9</w:t>
      </w:r>
      <w:r w:rsidRPr="00174519">
        <w:rPr>
          <w:b w:val="0"/>
          <w:bCs w:val="0"/>
          <w:highlight w:val="lightGray"/>
        </w:rPr>
        <w:tab/>
      </w:r>
      <w:r w:rsidR="00174519" w:rsidRPr="00174519">
        <w:rPr>
          <w:b w:val="0"/>
          <w:bCs w:val="0"/>
          <w:highlight w:val="lightGray"/>
        </w:rPr>
        <w:t>Los Anexos forman parte de la presente directiva y su modificación se efectúa conforme a la METDONI. El detalle de aplicación de los Anexos, así como los formatos, campos e indicadores operativos que de ellos se derivan, se establecen en los documentos normativos institucionales de menor rango previstos en el numeral 7.6, que las unidades competentes actualizan sin requerir la modificación de la presente directiva.</w:t>
      </w:r>
    </w:p>
    <w:p w14:paraId="6BB2EF90" w14:textId="0AE33180" w:rsidR="00E67A73" w:rsidRDefault="00000000">
      <w:pPr>
        <w:pStyle w:val="SubtituloDONI"/>
        <w:spacing w:line="276" w:lineRule="auto"/>
        <w:ind w:left="851"/>
        <w:rPr>
          <w:b w:val="0"/>
          <w:bCs w:val="0"/>
        </w:rPr>
      </w:pPr>
      <w:r>
        <w:rPr>
          <w:b w:val="0"/>
          <w:bCs w:val="0"/>
          <w:highlight w:val="yellow"/>
        </w:rPr>
        <w:t>7.10</w:t>
      </w:r>
      <w:r>
        <w:rPr>
          <w:b w:val="0"/>
          <w:bCs w:val="0"/>
          <w:highlight w:val="yellow"/>
        </w:rPr>
        <w:tab/>
        <w:t xml:space="preserve">El Oficial de Inteligencia Artificial (OIA) de la SUNAT, previsto en el artículo 6 de la Estrategia Nacional de Inteligencia Artificial 2026-2030,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w:t>
      </w:r>
      <w:r>
        <w:rPr>
          <w:b w:val="0"/>
          <w:bCs w:val="0"/>
          <w:highlight w:val="yellow"/>
        </w:rPr>
        <w:lastRenderedPageBreak/>
        <w:t xml:space="preserve">lineamientos que emita la SGTD-PCM, en aplicación de la Primera Disposición Complementaria Final de la citada Estrategia. </w:t>
      </w:r>
      <w:r w:rsidR="00FC0075" w:rsidRPr="00590BAB">
        <w:rPr>
          <w:b w:val="0"/>
          <w:bCs w:val="0"/>
          <w:highlight w:val="green"/>
        </w:rPr>
        <w:t>En tanto no se emitan dichos lineamientos y no se designe al OIA, las funciones de coordinación técnica en materia de IA son ejercidas por el Coordinador de la Comisión de Gobierno de IA que designe el CGTD conforme al numeral 7.3. Designado el OIA, la coordinación de la Comisión de Gobierno de IA recae en él, salvo que los lineamientos de la SGTD-PCM dispongan una articulación distinta. La Comisión de Gobierno de IA evalúa su articulación conforme a dichos lineamientos y propone al CGTD los ajustes que correspondan.</w:t>
      </w:r>
    </w:p>
    <w:p w14:paraId="4A9D4BA4" w14:textId="77777777" w:rsidR="000153F0" w:rsidRDefault="00000000">
      <w:pPr>
        <w:pStyle w:val="SubtituloDONI"/>
        <w:spacing w:line="276" w:lineRule="auto"/>
        <w:ind w:left="851"/>
        <w:rPr>
          <w:b w:val="0"/>
          <w:bCs w:val="0"/>
        </w:rPr>
      </w:pPr>
      <w:r>
        <w:rPr>
          <w:b w:val="0"/>
          <w:bCs w:val="0"/>
          <w:highlight w:val="yellow"/>
        </w:rPr>
        <w:t>7.11</w:t>
      </w:r>
      <w:r>
        <w:rPr>
          <w:b w:val="0"/>
          <w:bCs w:val="0"/>
          <w:highlight w:val="yellow"/>
        </w:rPr>
        <w:tab/>
        <w:t>El Plan de Acción de Inteligencia Artificial (PAIA) forma parte del Portafolio de Proyectos del PGD, conforme al numeral 5.5 del artículo 5 de la ENIA. Su aprobación requiere que la SUNAT haya aprobado o implementado previamente su Plan de Acción de Gobierno de Datos (PAGD), conforme al numeral 5.4 del mismo artículo;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norma y al numeral 28.10 del artículo 28 del RLIA. Su formulación corresponde a la fase posterior a la aprobación de la presente directiva.</w:t>
      </w:r>
    </w:p>
    <w:p w14:paraId="7EBB5326" w14:textId="3A404617" w:rsidR="002555BF" w:rsidRPr="002555BF" w:rsidRDefault="002555BF" w:rsidP="002555BF">
      <w:pPr>
        <w:pStyle w:val="SubtituloDONI"/>
        <w:spacing w:line="276" w:lineRule="auto"/>
        <w:ind w:left="851" w:hanging="709"/>
        <w:rPr>
          <w:b w:val="0"/>
          <w:bCs w:val="0"/>
          <w:highlight w:val="green"/>
        </w:rPr>
      </w:pPr>
      <w:r w:rsidRPr="002555BF">
        <w:rPr>
          <w:b w:val="0"/>
          <w:bCs w:val="0"/>
          <w:highlight w:val="green"/>
        </w:rPr>
        <w:t>7.12    Las iniciativas, proyectos y acciones que incorporen un componente basado en IA y no se encuentren comprendidos en el PAIA acreditan su alineamiento con un objetivo del PGD o del Plan Estratégico Institucional mediante la evidencia documentada que corresponda. La Comisión de Gobierno de IA verifica dicho alineamiento y lo reporta en el informe trimestral del numeral 6.9.5.</w:t>
      </w:r>
    </w:p>
    <w:p w14:paraId="0F6BB4D0" w14:textId="77777777" w:rsidR="00863A18" w:rsidRPr="00923C59" w:rsidRDefault="00863A18" w:rsidP="00B23382">
      <w:pPr>
        <w:pStyle w:val="Ttulo1"/>
        <w:spacing w:line="276" w:lineRule="auto"/>
        <w:rPr>
          <w:rFonts w:cs="Arial"/>
          <w:szCs w:val="22"/>
        </w:rPr>
      </w:pPr>
      <w:bookmarkStart w:id="8" w:name="_Toc235003968"/>
      <w:r>
        <w:rPr>
          <w:rFonts w:cs="Arial"/>
          <w:bCs/>
          <w:color w:val="000000"/>
          <w:szCs w:val="22"/>
        </w:rPr>
        <w:t>ANEXOS</w:t>
      </w:r>
      <w:bookmarkEnd w:id="8"/>
    </w:p>
    <w:p w14:paraId="3204480F"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694D3FA3"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538F4866"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3AD95862"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3F206D96" w14:textId="77777777" w:rsidR="004F49BB" w:rsidRDefault="004F49BB" w:rsidP="00B23382">
      <w:pPr>
        <w:spacing w:line="276" w:lineRule="auto"/>
        <w:rPr>
          <w:rFonts w:ascii="Arial" w:eastAsia="Arial" w:hAnsi="Arial" w:cs="Arial"/>
          <w:b/>
          <w:bCs/>
          <w:color w:val="000000"/>
        </w:rPr>
      </w:pPr>
      <w:r>
        <w:rPr>
          <w:rFonts w:ascii="Arial" w:eastAsia="Arial" w:hAnsi="Arial" w:cs="Arial"/>
          <w:b/>
          <w:bCs/>
          <w:color w:val="000000"/>
        </w:rPr>
        <w:br w:type="page"/>
      </w:r>
    </w:p>
    <w:p w14:paraId="5A18DFFE"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1: Ficha de Registro de SBIA (Campos mínimos del Inventario)</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67758469"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755F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914051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01382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7CECF6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65935A"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D2AA0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2A412"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0280B2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7828F"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E86E9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E8152A"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5DA025B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4B60A4"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C72C2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F5A3F8"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716C7F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D43918"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9F36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70E2"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6F34DDD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011BE"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958DF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737AA5" w14:textId="2598C2C2" w:rsidR="0018147B" w:rsidRDefault="003E2526">
            <w:pPr>
              <w:spacing w:before="20" w:after="20" w:line="276" w:lineRule="auto"/>
              <w:rPr>
                <w:rFonts w:ascii="Arial" w:hAnsi="Arial" w:cs="Arial"/>
              </w:rPr>
            </w:pPr>
            <w:r w:rsidRPr="003E2526">
              <w:rPr>
                <w:rFonts w:ascii="Arial" w:eastAsia="Arial" w:hAnsi="Arial" w:cs="Arial"/>
              </w:rPr>
              <w:t>Uso indebido (Art. 23), Alto (Art. 24) o Aceptable (Art. 22.2).</w:t>
            </w:r>
          </w:p>
        </w:tc>
      </w:tr>
      <w:tr w:rsidR="00863A18" w:rsidRPr="00923C59" w14:paraId="3428CA0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2F600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43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6C9F50"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066E50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DA71A4"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465BE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41412D"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625E0E3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0EB550"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4EA5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3452ED"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7614B5" w14:paraId="65C3EA1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550038"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F637D0"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C80DBE"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Human-</w:t>
            </w:r>
            <w:proofErr w:type="spellStart"/>
            <w:r>
              <w:rPr>
                <w:rFonts w:ascii="Arial" w:eastAsia="Arial" w:hAnsi="Arial" w:cs="Arial"/>
                <w:lang w:val="en-US"/>
              </w:rPr>
              <w:t>in-the-loop</w:t>
            </w:r>
            <w:proofErr w:type="spellEnd"/>
            <w:r>
              <w:rPr>
                <w:rFonts w:ascii="Arial" w:eastAsia="Arial" w:hAnsi="Arial" w:cs="Arial"/>
                <w:lang w:val="en-US"/>
              </w:rPr>
              <w:t xml:space="preserve">, on-the-loop </w:t>
            </w:r>
            <w:proofErr w:type="gramStart"/>
            <w:r>
              <w:rPr>
                <w:rFonts w:ascii="Arial" w:eastAsia="Arial" w:hAnsi="Arial" w:cs="Arial"/>
                <w:lang w:val="en-US"/>
              </w:rPr>
              <w:t>o in</w:t>
            </w:r>
            <w:proofErr w:type="gramEnd"/>
            <w:r>
              <w:rPr>
                <w:rFonts w:ascii="Arial" w:eastAsia="Arial" w:hAnsi="Arial" w:cs="Arial"/>
                <w:lang w:val="en-US"/>
              </w:rPr>
              <w:t>-command.</w:t>
            </w:r>
          </w:p>
        </w:tc>
      </w:tr>
      <w:tr w:rsidR="00863A18" w:rsidRPr="00923C59" w14:paraId="0AEC7DB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78949"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79B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FBD378" w14:textId="77777777" w:rsidR="00863A18" w:rsidRPr="00923C59" w:rsidRDefault="00863A18" w:rsidP="00B23382">
            <w:pPr>
              <w:spacing w:before="20" w:after="20" w:line="276" w:lineRule="auto"/>
              <w:rPr>
                <w:rFonts w:ascii="Arial" w:hAnsi="Arial" w:cs="Arial"/>
              </w:rPr>
            </w:pPr>
            <w:r>
              <w:rPr>
                <w:rFonts w:ascii="Arial" w:eastAsia="Arial" w:hAnsi="Arial" w:cs="Arial"/>
              </w:rPr>
              <w:t>Ideación, Evaluación, Diseño, Desarrollo, Pruebas, Producción, Retirado.</w:t>
            </w:r>
          </w:p>
        </w:tc>
      </w:tr>
      <w:tr w:rsidR="00863A18" w:rsidRPr="00923C59" w14:paraId="4F84DB9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9F5DCD"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DE3B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90B537"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2784F0C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E91D2D"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1121B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471F35"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5BF7870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1692F5"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109A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02C2CA"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w:t>
            </w:r>
          </w:p>
        </w:tc>
      </w:tr>
      <w:tr w:rsidR="00863A18" w:rsidRPr="00923C59" w14:paraId="2511E69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0370CE" w14:textId="77777777" w:rsidR="00863A18" w:rsidRPr="007F4CB9" w:rsidRDefault="00863A18" w:rsidP="00B23382">
            <w:pPr>
              <w:spacing w:before="20" w:after="20" w:line="276" w:lineRule="auto"/>
              <w:rPr>
                <w:rFonts w:ascii="Arial" w:hAnsi="Arial" w:cs="Arial"/>
                <w:highlight w:val="green"/>
              </w:rPr>
            </w:pPr>
            <w:r w:rsidRPr="007F4CB9">
              <w:rPr>
                <w:rFonts w:ascii="Arial" w:eastAsia="Arial" w:hAnsi="Arial" w:cs="Arial"/>
                <w:highlight w:val="green"/>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0B6C33" w14:textId="16D8B154" w:rsidR="00863A18" w:rsidRPr="007F4CB9" w:rsidRDefault="003A7976" w:rsidP="00B23382">
            <w:pPr>
              <w:spacing w:before="20" w:after="20" w:line="276" w:lineRule="auto"/>
              <w:rPr>
                <w:rFonts w:ascii="Arial" w:hAnsi="Arial" w:cs="Arial"/>
                <w:highlight w:val="green"/>
              </w:rPr>
            </w:pPr>
            <w:r w:rsidRPr="007F4CB9">
              <w:rPr>
                <w:rFonts w:ascii="Arial" w:eastAsia="Arial" w:hAnsi="Arial" w:cs="Arial"/>
                <w:b/>
                <w:bCs/>
                <w:highlight w:val="green"/>
              </w:rPr>
              <w:t>Última verificación técnica de seguridad</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42A070" w14:textId="7A6F748F" w:rsidR="00863A18" w:rsidRPr="007F4CB9" w:rsidRDefault="003A7976" w:rsidP="00B23382">
            <w:pPr>
              <w:spacing w:before="20" w:after="20" w:line="276" w:lineRule="auto"/>
              <w:rPr>
                <w:rFonts w:ascii="Arial" w:hAnsi="Arial" w:cs="Arial"/>
                <w:highlight w:val="green"/>
              </w:rPr>
            </w:pPr>
            <w:r w:rsidRPr="007F4CB9">
              <w:rPr>
                <w:rFonts w:ascii="Arial" w:eastAsia="Arial" w:hAnsi="Arial" w:cs="Arial"/>
                <w:highlight w:val="green"/>
              </w:rPr>
              <w:t>Fecha de la última verificación técnica de seguridad del SBIA conforme al numeral 6.10.3: análisis de riesgo, pruebas de vulnerabilidad y, para riesgo alto, red teaming. La primera verificación es previa a la implementación y consta en el hito de certificación y validación del numeral 6.1.1.</w:t>
            </w:r>
          </w:p>
        </w:tc>
      </w:tr>
      <w:tr w:rsidR="00863A18" w:rsidRPr="00923C59" w14:paraId="39AD186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72882" w14:textId="77777777" w:rsidR="00863A18" w:rsidRPr="00E810C0" w:rsidRDefault="00863A18" w:rsidP="00B23382">
            <w:pPr>
              <w:spacing w:before="20" w:after="20" w:line="276" w:lineRule="auto"/>
              <w:rPr>
                <w:rFonts w:ascii="Arial" w:hAnsi="Arial" w:cs="Arial"/>
                <w:highlight w:val="green"/>
              </w:rPr>
            </w:pPr>
            <w:r w:rsidRPr="00E810C0">
              <w:rPr>
                <w:rFonts w:ascii="Arial" w:eastAsia="Arial" w:hAnsi="Arial" w:cs="Arial"/>
                <w:highlight w:val="green"/>
              </w:rPr>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69E948" w14:textId="353646B2" w:rsidR="00863A18" w:rsidRPr="00E810C0" w:rsidRDefault="00E810C0" w:rsidP="00B23382">
            <w:pPr>
              <w:spacing w:before="20" w:after="20" w:line="276" w:lineRule="auto"/>
              <w:rPr>
                <w:rFonts w:ascii="Arial" w:hAnsi="Arial" w:cs="Arial"/>
                <w:highlight w:val="green"/>
              </w:rPr>
            </w:pPr>
            <w:r w:rsidRPr="00E810C0">
              <w:rPr>
                <w:rFonts w:ascii="Arial" w:eastAsia="Arial" w:hAnsi="Arial" w:cs="Arial"/>
                <w:b/>
                <w:bCs/>
                <w:highlight w:val="green"/>
              </w:rPr>
              <w:t>Custodio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2731C4" w14:textId="07D79C0F" w:rsidR="00863A18" w:rsidRPr="00E810C0" w:rsidRDefault="00E810C0" w:rsidP="00B23382">
            <w:pPr>
              <w:spacing w:before="20" w:after="20" w:line="276" w:lineRule="auto"/>
              <w:rPr>
                <w:rFonts w:ascii="Arial" w:hAnsi="Arial" w:cs="Arial"/>
                <w:highlight w:val="green"/>
              </w:rPr>
            </w:pPr>
            <w:r w:rsidRPr="00E810C0">
              <w:rPr>
                <w:rFonts w:ascii="Arial" w:eastAsia="Arial" w:hAnsi="Arial" w:cs="Arial"/>
                <w:highlight w:val="green"/>
              </w:rPr>
              <w:t>Unidad de organización de la INSI a cargo del diseño técnico, la construcción o adquisición, el despliegue y la operación del SBIA, y responsable designado.</w:t>
            </w:r>
          </w:p>
        </w:tc>
      </w:tr>
      <w:tr w:rsidR="003E4730" w:rsidRPr="00923C59" w14:paraId="7AD2C81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8DE5FC"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CC1BA"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0B37E"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EF646B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2A945"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753D"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826F58"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r w:rsidR="00206379" w:rsidRPr="00923C59" w14:paraId="0A01A45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602D0C" w14:textId="157B765D" w:rsidR="00206379" w:rsidRDefault="00206379" w:rsidP="00B23382">
            <w:pPr>
              <w:spacing w:before="20" w:after="20" w:line="276" w:lineRule="auto"/>
              <w:rPr>
                <w:rFonts w:ascii="Arial" w:eastAsia="Arial" w:hAnsi="Arial" w:cs="Arial"/>
              </w:rPr>
            </w:pPr>
            <w:r>
              <w:rPr>
                <w:rFonts w:ascii="Arial" w:eastAsia="Arial" w:hAnsi="Arial" w:cs="Arial"/>
              </w:rPr>
              <w:lastRenderedPageBreak/>
              <w:t>18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AD100F" w14:textId="64E389EA" w:rsidR="00206379" w:rsidRDefault="00206379" w:rsidP="00B23382">
            <w:pPr>
              <w:spacing w:before="20" w:after="20" w:line="276" w:lineRule="auto"/>
              <w:rPr>
                <w:rFonts w:ascii="Arial" w:eastAsia="Arial" w:hAnsi="Arial" w:cs="Arial"/>
                <w:b/>
                <w:bCs/>
              </w:rPr>
            </w:pPr>
            <w:r w:rsidRPr="00206379">
              <w:rPr>
                <w:rFonts w:ascii="Arial" w:eastAsia="Arial" w:hAnsi="Arial" w:cs="Arial"/>
                <w:b/>
                <w:bCs/>
              </w:rPr>
              <w:t xml:space="preserve">Versión vigente y </w:t>
            </w:r>
            <w:r w:rsidR="001F1383">
              <w:rPr>
                <w:rFonts w:ascii="Arial" w:eastAsia="Arial" w:hAnsi="Arial" w:cs="Arial"/>
                <w:b/>
                <w:bCs/>
              </w:rPr>
              <w:t>ú</w:t>
            </w:r>
            <w:r w:rsidRPr="00206379">
              <w:rPr>
                <w:rFonts w:ascii="Arial" w:eastAsia="Arial" w:hAnsi="Arial" w:cs="Arial"/>
                <w:b/>
                <w:bCs/>
              </w:rPr>
              <w:t>ltimo cambio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4DDC1B" w14:textId="3FB8444D" w:rsidR="00206379" w:rsidRDefault="00206379" w:rsidP="00B23382">
            <w:pPr>
              <w:spacing w:before="20" w:after="20" w:line="276" w:lineRule="auto"/>
              <w:rPr>
                <w:rFonts w:ascii="Arial" w:eastAsia="Arial" w:hAnsi="Arial" w:cs="Arial"/>
              </w:rPr>
            </w:pPr>
            <w:r w:rsidRPr="00206379">
              <w:rPr>
                <w:rFonts w:ascii="Arial" w:eastAsia="Arial" w:hAnsi="Arial" w:cs="Arial"/>
              </w:rPr>
              <w:t>Identificación de la versión del SBIA en producción, fecha del último cambio y su calificación como significativo o no, conforme a los numerales 6.10.4 y 6.10.5</w:t>
            </w:r>
          </w:p>
        </w:tc>
      </w:tr>
      <w:tr w:rsidR="00AC727E" w:rsidRPr="00923C59" w14:paraId="53FB58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51EF02" w14:textId="7E56076D" w:rsidR="00AC727E" w:rsidRPr="00AC727E" w:rsidRDefault="00AC727E" w:rsidP="00B23382">
            <w:pPr>
              <w:spacing w:before="20" w:after="20" w:line="276" w:lineRule="auto"/>
              <w:rPr>
                <w:rFonts w:ascii="Arial" w:eastAsia="Arial" w:hAnsi="Arial" w:cs="Arial"/>
                <w:highlight w:val="green"/>
              </w:rPr>
            </w:pPr>
            <w:r w:rsidRPr="00AC727E">
              <w:rPr>
                <w:rFonts w:ascii="Arial" w:eastAsia="Arial" w:hAnsi="Arial" w:cs="Arial"/>
                <w:highlight w:val="green"/>
              </w:rPr>
              <w:t>19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4AD779" w14:textId="60F23AC5" w:rsidR="00AC727E" w:rsidRPr="00AC727E" w:rsidRDefault="00AC727E" w:rsidP="00B23382">
            <w:pPr>
              <w:spacing w:before="20" w:after="20" w:line="276" w:lineRule="auto"/>
              <w:rPr>
                <w:rFonts w:ascii="Arial" w:eastAsia="Arial" w:hAnsi="Arial" w:cs="Arial"/>
                <w:b/>
                <w:bCs/>
                <w:highlight w:val="green"/>
              </w:rPr>
            </w:pPr>
            <w:r w:rsidRPr="00AC727E">
              <w:rPr>
                <w:rFonts w:ascii="Arial" w:eastAsia="Arial" w:hAnsi="Arial" w:cs="Arial"/>
                <w:b/>
                <w:bCs/>
                <w:highlight w:val="green"/>
              </w:rPr>
              <w:t>Medidas frente al sesgo y última evaluación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391C31" w14:textId="653D88AF" w:rsidR="00AC727E" w:rsidRPr="00AC727E" w:rsidRDefault="00AC727E" w:rsidP="00B23382">
            <w:pPr>
              <w:spacing w:before="20" w:after="20" w:line="276" w:lineRule="auto"/>
              <w:rPr>
                <w:rFonts w:ascii="Arial" w:eastAsia="Arial" w:hAnsi="Arial" w:cs="Arial"/>
                <w:highlight w:val="green"/>
              </w:rPr>
            </w:pPr>
            <w:r w:rsidRPr="00AC727E">
              <w:rPr>
                <w:rFonts w:ascii="Arial" w:eastAsia="Arial" w:hAnsi="Arial" w:cs="Arial"/>
                <w:highlight w:val="green"/>
              </w:rPr>
              <w:t>Medidas incorporadas para prevenir, detectar y corregir resultados discriminatorios o sesgados conforme al numeral 6.6.4, y fecha de la última evaluación de los indicadores de sesgo conforme a los numerales 6.10.1 y 6.10.2. La verificación de estas medidas es previa al despliegue, conforme al numeral 6.1.2.</w:t>
            </w:r>
          </w:p>
        </w:tc>
      </w:tr>
    </w:tbl>
    <w:p w14:paraId="29034906" w14:textId="77777777" w:rsidR="00863A18" w:rsidRPr="00923C59" w:rsidRDefault="00863A18" w:rsidP="00B23382">
      <w:pPr>
        <w:spacing w:line="276" w:lineRule="auto"/>
        <w:rPr>
          <w:rFonts w:ascii="Arial" w:hAnsi="Arial" w:cs="Arial"/>
        </w:rPr>
      </w:pPr>
      <w:r>
        <w:rPr>
          <w:rFonts w:ascii="Arial" w:hAnsi="Arial" w:cs="Arial"/>
        </w:rPr>
        <w:br w:type="page"/>
      </w:r>
    </w:p>
    <w:p w14:paraId="7E1538A7"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0F2B57D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0CD52EEB"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9"/>
        <w:gridCol w:w="2229"/>
        <w:gridCol w:w="2230"/>
        <w:gridCol w:w="2230"/>
      </w:tblGrid>
      <w:tr w:rsidR="003E2526" w:rsidRPr="00923C59" w14:paraId="0C990816" w14:textId="77777777" w:rsidTr="003E2526">
        <w:trPr>
          <w:tblHeader/>
        </w:trPr>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975AB1C" w14:textId="77777777" w:rsidR="003E2526" w:rsidRPr="00923C59" w:rsidRDefault="003E2526" w:rsidP="00B23382">
            <w:pPr>
              <w:spacing w:before="20" w:after="20" w:line="276" w:lineRule="auto"/>
              <w:rPr>
                <w:rFonts w:ascii="Arial" w:hAnsi="Arial" w:cs="Arial"/>
              </w:rPr>
            </w:pPr>
            <w:r>
              <w:rPr>
                <w:rFonts w:ascii="Arial" w:eastAsia="Arial" w:hAnsi="Arial" w:cs="Arial"/>
                <w:b/>
                <w:bCs/>
              </w:rPr>
              <w:t>Criterio</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23244C9" w14:textId="0385A326" w:rsidR="003E2526" w:rsidRDefault="003E2526">
            <w:pPr>
              <w:spacing w:before="20" w:after="20" w:line="276" w:lineRule="auto"/>
              <w:rPr>
                <w:rFonts w:ascii="Arial" w:hAnsi="Arial" w:cs="Arial"/>
              </w:rPr>
            </w:pPr>
            <w:r>
              <w:rPr>
                <w:rFonts w:ascii="Arial" w:eastAsia="Arial" w:hAnsi="Arial" w:cs="Arial"/>
                <w:b/>
                <w:bCs/>
                <w:highlight w:val="yellow"/>
              </w:rPr>
              <w:t xml:space="preserve">Riesgo aceptable </w:t>
            </w:r>
            <w:r w:rsidRPr="003E2526">
              <w:rPr>
                <w:rFonts w:ascii="Arial" w:eastAsia="Arial" w:hAnsi="Arial" w:cs="Arial"/>
                <w:b/>
                <w:bCs/>
                <w:highlight w:val="yellow"/>
              </w:rPr>
              <w:t>(Art. 22.2)</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DD4D39E" w14:textId="77777777" w:rsidR="003E2526" w:rsidRDefault="003E2526">
            <w:pPr>
              <w:spacing w:before="20" w:after="20" w:line="276" w:lineRule="auto"/>
              <w:rPr>
                <w:rFonts w:ascii="Arial" w:hAnsi="Arial" w:cs="Arial"/>
              </w:rPr>
            </w:pPr>
            <w:r>
              <w:rPr>
                <w:rFonts w:ascii="Arial" w:eastAsia="Arial" w:hAnsi="Arial" w:cs="Arial"/>
                <w:b/>
                <w:bCs/>
                <w:highlight w:val="yellow"/>
              </w:rPr>
              <w:t>Riesgo alto (Art. 24)</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8C73068" w14:textId="77777777" w:rsidR="003E2526" w:rsidRDefault="003E2526">
            <w:pPr>
              <w:spacing w:before="20" w:after="20" w:line="276" w:lineRule="auto"/>
              <w:rPr>
                <w:rFonts w:ascii="Arial" w:hAnsi="Arial" w:cs="Arial"/>
              </w:rPr>
            </w:pPr>
            <w:r>
              <w:rPr>
                <w:rFonts w:ascii="Arial" w:eastAsia="Arial" w:hAnsi="Arial" w:cs="Arial"/>
                <w:b/>
                <w:bCs/>
                <w:highlight w:val="cyan"/>
              </w:rPr>
              <w:t>Uso indebido (Art. 23)</w:t>
            </w:r>
          </w:p>
        </w:tc>
      </w:tr>
      <w:tr w:rsidR="003E2526" w:rsidRPr="00923C59" w14:paraId="6638A516"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D7E2AC" w14:textId="77777777" w:rsidR="003E2526" w:rsidRPr="00923C59" w:rsidRDefault="003E2526" w:rsidP="00B23382">
            <w:pPr>
              <w:spacing w:before="20" w:after="20" w:line="276" w:lineRule="auto"/>
              <w:rPr>
                <w:rFonts w:ascii="Arial" w:hAnsi="Arial" w:cs="Arial"/>
              </w:rPr>
            </w:pPr>
            <w:r>
              <w:rPr>
                <w:rFonts w:ascii="Arial" w:eastAsia="Arial" w:hAnsi="Arial" w:cs="Arial"/>
                <w:b/>
                <w:bCs/>
              </w:rPr>
              <w:t>Impacto en derechos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1FC08B" w14:textId="38323D9C" w:rsidR="003E2526" w:rsidRPr="00923C59" w:rsidRDefault="003E2526" w:rsidP="00B23382">
            <w:pPr>
              <w:spacing w:before="20" w:after="20" w:line="276" w:lineRule="auto"/>
              <w:rPr>
                <w:rFonts w:ascii="Arial" w:hAnsi="Arial" w:cs="Arial"/>
              </w:rPr>
            </w:pPr>
            <w:r w:rsidRPr="003E2526">
              <w:rPr>
                <w:rFonts w:ascii="Arial" w:eastAsia="Arial" w:hAnsi="Arial" w:cs="Arial"/>
              </w:rPr>
              <w:t>Sin impacto directo o impacto meramente informativo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0E73F8" w14:textId="77777777" w:rsidR="003E2526" w:rsidRPr="00923C59" w:rsidRDefault="003E2526" w:rsidP="00B23382">
            <w:pPr>
              <w:spacing w:before="20" w:after="20" w:line="276" w:lineRule="auto"/>
              <w:rPr>
                <w:rFonts w:ascii="Arial" w:hAnsi="Arial" w:cs="Arial"/>
              </w:rPr>
            </w:pPr>
            <w:r>
              <w:rPr>
                <w:rFonts w:ascii="Arial" w:eastAsia="Arial" w:hAnsi="Arial" w:cs="Arial"/>
              </w:rPr>
              <w:t>Impacto significativo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3B80C" w14:textId="77777777" w:rsidR="003E2526" w:rsidRPr="00923C59" w:rsidRDefault="003E2526" w:rsidP="00B23382">
            <w:pPr>
              <w:spacing w:before="20" w:after="20" w:line="276" w:lineRule="auto"/>
              <w:rPr>
                <w:rFonts w:ascii="Arial" w:hAnsi="Arial" w:cs="Arial"/>
              </w:rPr>
            </w:pPr>
            <w:r>
              <w:rPr>
                <w:rFonts w:ascii="Arial" w:eastAsia="Arial" w:hAnsi="Arial" w:cs="Arial"/>
              </w:rPr>
              <w:t>Vulneración grave de derechos fundamentales</w:t>
            </w:r>
          </w:p>
        </w:tc>
      </w:tr>
      <w:tr w:rsidR="003E2526" w:rsidRPr="00923C59" w14:paraId="49715B64"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221915" w14:textId="77777777" w:rsidR="003E2526" w:rsidRPr="00923C59" w:rsidRDefault="003E2526" w:rsidP="00B23382">
            <w:pPr>
              <w:spacing w:before="20" w:after="20" w:line="276" w:lineRule="auto"/>
              <w:rPr>
                <w:rFonts w:ascii="Arial" w:hAnsi="Arial" w:cs="Arial"/>
              </w:rPr>
            </w:pPr>
            <w:r>
              <w:rPr>
                <w:rFonts w:ascii="Arial" w:eastAsia="Arial" w:hAnsi="Arial" w:cs="Arial"/>
                <w:b/>
                <w:bCs/>
              </w:rPr>
              <w:t>Autonomía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28F72D" w14:textId="40BB0D40" w:rsidR="003E2526" w:rsidRPr="00923C59" w:rsidRDefault="003E2526" w:rsidP="00B23382">
            <w:pPr>
              <w:spacing w:before="20" w:after="20" w:line="276" w:lineRule="auto"/>
              <w:rPr>
                <w:rFonts w:ascii="Arial" w:hAnsi="Arial" w:cs="Arial"/>
              </w:rPr>
            </w:pPr>
            <w:r w:rsidRPr="003E2526">
              <w:rPr>
                <w:rFonts w:ascii="Arial" w:eastAsia="Arial" w:hAnsi="Arial" w:cs="Arial"/>
              </w:rPr>
              <w:t>Asistencia al funcionario o interacción directa con el administrado, sin influencia en la decisión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2E7BD7" w14:textId="77777777" w:rsidR="003E2526" w:rsidRPr="00923C59" w:rsidRDefault="003E2526" w:rsidP="00B23382">
            <w:pPr>
              <w:spacing w:before="20" w:after="20" w:line="276" w:lineRule="auto"/>
              <w:rPr>
                <w:rFonts w:ascii="Arial" w:hAnsi="Arial" w:cs="Arial"/>
              </w:rPr>
            </w:pPr>
            <w:r>
              <w:rPr>
                <w:rFonts w:ascii="Arial" w:eastAsia="Arial" w:hAnsi="Arial" w:cs="Arial"/>
              </w:rPr>
              <w:t>Influencia en decisiones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1E2A9" w14:textId="77777777" w:rsidR="003E2526" w:rsidRPr="00923C59" w:rsidRDefault="003E2526" w:rsidP="00B23382">
            <w:pPr>
              <w:spacing w:before="20" w:after="20" w:line="276" w:lineRule="auto"/>
              <w:rPr>
                <w:rFonts w:ascii="Arial" w:hAnsi="Arial" w:cs="Arial"/>
              </w:rPr>
            </w:pPr>
            <w:r>
              <w:rPr>
                <w:rFonts w:ascii="Arial" w:eastAsia="Arial" w:hAnsi="Arial" w:cs="Arial"/>
              </w:rPr>
              <w:t>Decisión autónoma sin supervisión</w:t>
            </w:r>
          </w:p>
        </w:tc>
      </w:tr>
      <w:tr w:rsidR="003E2526" w:rsidRPr="00923C59" w14:paraId="08BDA6A8"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BD7AF" w14:textId="77777777" w:rsidR="003E2526" w:rsidRPr="00923C59" w:rsidRDefault="003E2526" w:rsidP="00B23382">
            <w:pPr>
              <w:spacing w:before="20" w:after="20" w:line="276" w:lineRule="auto"/>
              <w:rPr>
                <w:rFonts w:ascii="Arial" w:hAnsi="Arial" w:cs="Arial"/>
              </w:rPr>
            </w:pPr>
            <w:r>
              <w:rPr>
                <w:rFonts w:ascii="Arial" w:eastAsia="Arial" w:hAnsi="Arial" w:cs="Arial"/>
                <w:b/>
                <w:bCs/>
              </w:rPr>
              <w:t>Datos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1E0B92" w14:textId="54DFEA01" w:rsidR="003E2526" w:rsidRPr="00923C59" w:rsidRDefault="003E2526" w:rsidP="00B23382">
            <w:pPr>
              <w:spacing w:before="20" w:after="20" w:line="276" w:lineRule="auto"/>
              <w:rPr>
                <w:rFonts w:ascii="Arial" w:hAnsi="Arial" w:cs="Arial"/>
              </w:rPr>
            </w:pPr>
            <w:r w:rsidRPr="003E2526">
              <w:rPr>
                <w:rFonts w:ascii="Arial" w:eastAsia="Arial" w:hAnsi="Arial" w:cs="Arial"/>
              </w:rPr>
              <w:t>Públicos, no sensibles o generales de interacción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FAE8F1" w14:textId="77777777" w:rsidR="003E2526" w:rsidRPr="00923C59" w:rsidRDefault="003E2526" w:rsidP="00B23382">
            <w:pPr>
              <w:spacing w:before="20" w:after="20" w:line="276" w:lineRule="auto"/>
              <w:rPr>
                <w:rFonts w:ascii="Arial" w:hAnsi="Arial" w:cs="Arial"/>
              </w:rPr>
            </w:pPr>
            <w:r>
              <w:rPr>
                <w:rFonts w:ascii="Arial" w:eastAsia="Arial" w:hAnsi="Arial" w:cs="Arial"/>
              </w:rPr>
              <w:t>Personales, reserva tributaria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74562" w14:textId="77777777" w:rsidR="003E2526" w:rsidRPr="00923C59" w:rsidRDefault="003E2526" w:rsidP="00B23382">
            <w:pPr>
              <w:spacing w:before="20" w:after="20" w:line="276" w:lineRule="auto"/>
              <w:rPr>
                <w:rFonts w:ascii="Arial" w:hAnsi="Arial" w:cs="Arial"/>
              </w:rPr>
            </w:pPr>
            <w:r>
              <w:rPr>
                <w:rFonts w:ascii="Arial" w:eastAsia="Arial" w:hAnsi="Arial" w:cs="Arial"/>
              </w:rPr>
              <w:t>Biométricos para inferir condiciones protegidas</w:t>
            </w:r>
          </w:p>
        </w:tc>
      </w:tr>
      <w:tr w:rsidR="003E2526" w:rsidRPr="00923C59" w14:paraId="3ABE4675"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F3DA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Reversibilidad</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DCA8C6" w14:textId="4D9ECE91" w:rsidR="003E2526" w:rsidRPr="00923C59" w:rsidRDefault="003E2526" w:rsidP="00B23382">
            <w:pPr>
              <w:spacing w:before="20" w:after="20" w:line="276" w:lineRule="auto"/>
              <w:rPr>
                <w:rFonts w:ascii="Arial" w:hAnsi="Arial" w:cs="Arial"/>
              </w:rPr>
            </w:pPr>
            <w:r w:rsidRPr="003E2526">
              <w:rPr>
                <w:rFonts w:ascii="Arial" w:eastAsia="Arial" w:hAnsi="Arial" w:cs="Arial"/>
              </w:rPr>
              <w:t>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4BFD19" w14:textId="77777777" w:rsidR="003E2526" w:rsidRPr="00923C59" w:rsidRDefault="003E2526" w:rsidP="00B23382">
            <w:pPr>
              <w:spacing w:before="20" w:after="20" w:line="276" w:lineRule="auto"/>
              <w:rPr>
                <w:rFonts w:ascii="Arial" w:hAnsi="Arial" w:cs="Arial"/>
              </w:rPr>
            </w:pPr>
            <w:r>
              <w:rPr>
                <w:rFonts w:ascii="Arial" w:eastAsia="Arial" w:hAnsi="Arial" w:cs="Arial"/>
              </w:rPr>
              <w:t>Difícilmente 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39855D" w14:textId="77777777" w:rsidR="003E2526" w:rsidRPr="00923C59" w:rsidRDefault="003E2526" w:rsidP="00B23382">
            <w:pPr>
              <w:spacing w:before="20" w:after="20" w:line="276" w:lineRule="auto"/>
              <w:rPr>
                <w:rFonts w:ascii="Arial" w:hAnsi="Arial" w:cs="Arial"/>
              </w:rPr>
            </w:pPr>
            <w:r>
              <w:rPr>
                <w:rFonts w:ascii="Arial" w:eastAsia="Arial" w:hAnsi="Arial" w:cs="Arial"/>
              </w:rPr>
              <w:t>Irreversible o daño grave</w:t>
            </w:r>
          </w:p>
        </w:tc>
      </w:tr>
      <w:tr w:rsidR="003E2526" w:rsidRPr="00923C59" w14:paraId="7590BC3A"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A1D22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Escala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78E89" w14:textId="6E9214AB" w:rsidR="003E2526" w:rsidRPr="00923C59" w:rsidRDefault="003E2526" w:rsidP="00B23382">
            <w:pPr>
              <w:spacing w:before="20" w:after="20" w:line="276" w:lineRule="auto"/>
              <w:rPr>
                <w:rFonts w:ascii="Arial" w:hAnsi="Arial" w:cs="Arial"/>
              </w:rPr>
            </w:pPr>
            <w:r w:rsidRPr="003E2526">
              <w:rPr>
                <w:rFonts w:ascii="Arial" w:eastAsia="Arial" w:hAnsi="Arial" w:cs="Arial"/>
              </w:rPr>
              <w:t>Individual</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CA922F" w14:textId="77777777" w:rsidR="003E2526" w:rsidRPr="00923C59" w:rsidRDefault="003E2526" w:rsidP="00B23382">
            <w:pPr>
              <w:spacing w:before="20" w:after="20" w:line="276" w:lineRule="auto"/>
              <w:rPr>
                <w:rFonts w:ascii="Arial" w:hAnsi="Arial" w:cs="Arial"/>
              </w:rPr>
            </w:pPr>
            <w:r>
              <w:rPr>
                <w:rFonts w:ascii="Arial" w:eastAsia="Arial" w:hAnsi="Arial" w:cs="Arial"/>
              </w:rPr>
              <w:t>Colectivo o masivo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56FF67" w14:textId="77777777" w:rsidR="003E2526" w:rsidRPr="00923C59" w:rsidRDefault="003E2526" w:rsidP="00B23382">
            <w:pPr>
              <w:spacing w:before="20" w:after="20" w:line="276" w:lineRule="auto"/>
              <w:rPr>
                <w:rFonts w:ascii="Arial" w:hAnsi="Arial" w:cs="Arial"/>
              </w:rPr>
            </w:pPr>
            <w:r>
              <w:rPr>
                <w:rFonts w:ascii="Arial" w:eastAsia="Arial" w:hAnsi="Arial" w:cs="Arial"/>
              </w:rPr>
              <w:t>Poblaciones completas o grupos vulnerables</w:t>
            </w:r>
          </w:p>
        </w:tc>
      </w:tr>
    </w:tbl>
    <w:p w14:paraId="4C91E48C" w14:textId="77777777" w:rsidR="00863A18" w:rsidRPr="00923C59" w:rsidRDefault="00863A18" w:rsidP="00B23382">
      <w:pPr>
        <w:spacing w:line="276" w:lineRule="auto"/>
        <w:rPr>
          <w:rFonts w:ascii="Arial" w:hAnsi="Arial" w:cs="Arial"/>
        </w:rPr>
      </w:pPr>
      <w:r>
        <w:rPr>
          <w:rFonts w:ascii="Arial" w:hAnsi="Arial" w:cs="Arial"/>
        </w:rPr>
        <w:br w:type="page"/>
      </w:r>
    </w:p>
    <w:p w14:paraId="13F9A2DB"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3: Estructura mínima de la EIA</w:t>
      </w:r>
    </w:p>
    <w:p w14:paraId="6AE976C9"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197EE4F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3421EF5B"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14E84EE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2F289DE9"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443EB5E2"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34D46875"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3B823A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5A3D6F2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01DDF3B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ADAED4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Cumplimiento normativo: Ley IA, Reglamento, protección de datos, reserva tributaria.</w:t>
      </w:r>
    </w:p>
    <w:p w14:paraId="7BCD68B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12369CCE"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542A556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Aprobaciones: firmas del propietario, la Comisión de Gobierno de IA, la OII e INALI.</w:t>
      </w:r>
    </w:p>
    <w:p w14:paraId="771AACE6" w14:textId="77777777" w:rsidR="00863A18" w:rsidRPr="00923C59" w:rsidRDefault="00863A18" w:rsidP="00B23382">
      <w:pPr>
        <w:spacing w:line="276" w:lineRule="auto"/>
        <w:rPr>
          <w:rFonts w:ascii="Arial" w:hAnsi="Arial" w:cs="Arial"/>
        </w:rPr>
      </w:pPr>
      <w:r>
        <w:rPr>
          <w:rFonts w:ascii="Arial" w:hAnsi="Arial" w:cs="Arial"/>
        </w:rPr>
        <w:br w:type="page"/>
      </w:r>
    </w:p>
    <w:p w14:paraId="5567F002" w14:textId="77777777" w:rsidR="00863A18" w:rsidRDefault="00863A18" w:rsidP="00B23382">
      <w:pPr>
        <w:spacing w:before="200" w:after="120" w:line="276" w:lineRule="auto"/>
        <w:rPr>
          <w:rFonts w:ascii="Arial" w:eastAsia="Arial" w:hAnsi="Arial" w:cs="Arial"/>
          <w:b/>
          <w:bCs/>
          <w:color w:val="000000"/>
        </w:rPr>
      </w:pPr>
      <w:r w:rsidRPr="00DE4308">
        <w:rPr>
          <w:rFonts w:ascii="Arial" w:eastAsia="Arial" w:hAnsi="Arial" w:cs="Arial"/>
          <w:b/>
          <w:bCs/>
          <w:color w:val="000000"/>
          <w:highlight w:val="green"/>
        </w:rPr>
        <w:lastRenderedPageBreak/>
        <w:t>Anexo N.° 4: Ficha de Evaluación de Caso de Uso de SBIA</w:t>
      </w:r>
    </w:p>
    <w:p w14:paraId="4E934914" w14:textId="4E17DBD7" w:rsidR="00174519" w:rsidRPr="00923C59" w:rsidRDefault="00174519" w:rsidP="00174519">
      <w:pPr>
        <w:spacing w:before="200" w:after="120" w:line="276" w:lineRule="auto"/>
        <w:jc w:val="both"/>
        <w:rPr>
          <w:rFonts w:ascii="Arial" w:hAnsi="Arial" w:cs="Arial"/>
        </w:rPr>
      </w:pPr>
      <w:r w:rsidRPr="00EF2B54">
        <w:rPr>
          <w:rFonts w:ascii="Arial" w:hAnsi="Arial" w:cs="Arial"/>
          <w:highlight w:val="green"/>
        </w:rPr>
        <w:t xml:space="preserve">Constituye el contenido mínimo de la evaluación del caso de uso y recoge los datos y las evidencias del problema que sustentan la iniciativa, conforme al numeral 28.4 del artículo 28 del RLIA. </w:t>
      </w:r>
      <w:r w:rsidR="00EF2B54" w:rsidRPr="00EF2B54">
        <w:rPr>
          <w:rFonts w:ascii="Arial" w:hAnsi="Arial" w:cs="Arial"/>
          <w:highlight w:val="green"/>
        </w:rPr>
        <w:t xml:space="preserve">Se adecúa a la naturaleza y magnitud de la iniciativa, requerimiento o proyecto, conforme al numeral 6.15.1. Los campos cuya información ya figura en el caso de negocio, en la ficha de necesidad de la gestión de demanda informática o en otro instrumento previo se completan indicando el documento y la sección donde consta. No se transcribe información ya contenida </w:t>
      </w:r>
      <w:r w:rsidR="00EF2B54">
        <w:rPr>
          <w:rFonts w:ascii="Arial" w:hAnsi="Arial" w:cs="Arial"/>
          <w:highlight w:val="green"/>
        </w:rPr>
        <w:t>en dichas fuentes</w:t>
      </w:r>
      <w:r w:rsidR="00EF2B54" w:rsidRPr="00EF2B54">
        <w:rPr>
          <w:rFonts w:ascii="Arial" w:hAnsi="Arial" w:cs="Arial"/>
          <w:highlight w:val="green"/>
        </w:rPr>
        <w:t>. Los controles aplicables al SBIA se determinan a partir de su clasificación de riesgo y se registran en la Ficha de Registro de SBIA (Anexo N.° 1); no forman parte de esta ficha.</w:t>
      </w:r>
    </w:p>
    <w:p w14:paraId="0F6F71B1" w14:textId="77777777" w:rsidR="00863A18" w:rsidRPr="00EF2B54" w:rsidRDefault="00863A18" w:rsidP="00B23382">
      <w:pPr>
        <w:spacing w:after="40" w:line="276" w:lineRule="auto"/>
        <w:jc w:val="both"/>
        <w:rPr>
          <w:rFonts w:ascii="Arial" w:hAnsi="Arial" w:cs="Arial"/>
          <w:highlight w:val="green"/>
        </w:rPr>
      </w:pPr>
      <w:r w:rsidRPr="00EF2B54">
        <w:rPr>
          <w:rFonts w:ascii="Arial" w:eastAsia="Arial" w:hAnsi="Arial" w:cs="Arial"/>
          <w:b/>
          <w:bCs/>
          <w:color w:val="000000"/>
          <w:highlight w:val="green"/>
        </w:rPr>
        <w:t>Sección 1 — Identificación:</w:t>
      </w:r>
    </w:p>
    <w:p w14:paraId="7280358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Denominación del caso de uso.</w:t>
      </w:r>
    </w:p>
    <w:p w14:paraId="3B918B0D"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Unidad de organización solicitante (propietario del caso de uso) y responsable funcional.</w:t>
      </w:r>
    </w:p>
    <w:p w14:paraId="59904ED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Unidad de organización responsable de la operación y del monitoreo posteriores al</w:t>
      </w:r>
    </w:p>
    <w:p w14:paraId="102E1F4C"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despliegue.</w:t>
      </w:r>
    </w:p>
    <w:p w14:paraId="5473642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Instrumento de gestión bajo el cual se formula la iniciativa y documento al que se remite</w:t>
      </w:r>
    </w:p>
    <w:p w14:paraId="69D4FE55"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la información no consignada en esta ficha.</w:t>
      </w:r>
    </w:p>
    <w:p w14:paraId="51B0701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Fecha de presentación.</w:t>
      </w:r>
    </w:p>
    <w:p w14:paraId="732A4860" w14:textId="0C383224" w:rsidR="00863A18" w:rsidRPr="000F3595" w:rsidRDefault="00863A18" w:rsidP="00EF2B54">
      <w:pPr>
        <w:spacing w:before="120" w:after="40" w:line="276" w:lineRule="auto"/>
        <w:jc w:val="both"/>
        <w:rPr>
          <w:rFonts w:ascii="Arial" w:hAnsi="Arial" w:cs="Arial"/>
          <w:highlight w:val="green"/>
        </w:rPr>
      </w:pPr>
      <w:r w:rsidRPr="000F3595">
        <w:rPr>
          <w:rFonts w:ascii="Arial" w:eastAsia="Arial" w:hAnsi="Arial" w:cs="Arial"/>
          <w:b/>
          <w:bCs/>
          <w:color w:val="000000"/>
          <w:highlight w:val="green"/>
        </w:rPr>
        <w:t xml:space="preserve">Sección 2 — </w:t>
      </w:r>
      <w:r w:rsidR="000F3595" w:rsidRPr="000F3595">
        <w:rPr>
          <w:rFonts w:ascii="Arial" w:eastAsia="Arial" w:hAnsi="Arial" w:cs="Arial"/>
          <w:b/>
          <w:bCs/>
          <w:color w:val="000000"/>
          <w:highlight w:val="green"/>
        </w:rPr>
        <w:t>Necesidad y pertinencia del uso de IA</w:t>
      </w:r>
      <w:r w:rsidRPr="000F3595">
        <w:rPr>
          <w:rFonts w:ascii="Arial" w:eastAsia="Arial" w:hAnsi="Arial" w:cs="Arial"/>
          <w:b/>
          <w:bCs/>
          <w:color w:val="000000"/>
          <w:highlight w:val="green"/>
        </w:rPr>
        <w:t>:</w:t>
      </w:r>
    </w:p>
    <w:p w14:paraId="008E6D69" w14:textId="507DA819"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 xml:space="preserve">Descripción sintética del problema o necesidad, o remisión </w:t>
      </w:r>
      <w:r w:rsidRPr="00EF2B54">
        <w:rPr>
          <w:b w:val="0"/>
          <w:bCs w:val="0"/>
          <w:color w:val="000000"/>
          <w:highlight w:val="green"/>
        </w:rPr>
        <w:t>a la fuente de la información donde se encuentra.</w:t>
      </w:r>
    </w:p>
    <w:p w14:paraId="17E05AAF" w14:textId="5D11B535"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Alternativa sin inteligencia artificial: describir la solución basada en reglas,</w:t>
      </w:r>
      <w:r w:rsidRPr="00EF2B54">
        <w:rPr>
          <w:b w:val="0"/>
          <w:bCs w:val="0"/>
          <w:color w:val="000000"/>
          <w:highlight w:val="green"/>
        </w:rPr>
        <w:t xml:space="preserve"> </w:t>
      </w:r>
      <w:r w:rsidRPr="00EF2B54">
        <w:rPr>
          <w:b w:val="0"/>
          <w:bCs w:val="0"/>
          <w:color w:val="000000"/>
          <w:highlight w:val="green"/>
        </w:rPr>
        <w:t>automatización o análisis convencional que se evaluó, y por qué no satisface la necesidad.</w:t>
      </w:r>
    </w:p>
    <w:p w14:paraId="1503BA7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Mejora esperada del uso de IA frente a esa alternativa, expresada en un indicador medible.</w:t>
      </w:r>
    </w:p>
    <w:p w14:paraId="4B15981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Disponibilidad y suficiencia de los datos requeridos para el aprendizaje o la inferencia.</w:t>
      </w:r>
    </w:p>
    <w:p w14:paraId="7E532910" w14:textId="679E173C"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 xml:space="preserve">Costo de gobernanza previsto </w:t>
      </w:r>
      <w:r w:rsidRPr="00EF2B54">
        <w:rPr>
          <w:b w:val="0"/>
          <w:bCs w:val="0"/>
          <w:color w:val="000000"/>
          <w:highlight w:val="green"/>
        </w:rPr>
        <w:t>(</w:t>
      </w:r>
      <w:r w:rsidRPr="00EF2B54">
        <w:rPr>
          <w:b w:val="0"/>
          <w:bCs w:val="0"/>
          <w:color w:val="000000"/>
          <w:highlight w:val="green"/>
        </w:rPr>
        <w:t>monitoreo, reentrenamiento, supervisión humana y evaluación</w:t>
      </w:r>
      <w:r w:rsidRPr="00EF2B54">
        <w:rPr>
          <w:b w:val="0"/>
          <w:bCs w:val="0"/>
          <w:color w:val="000000"/>
          <w:highlight w:val="green"/>
        </w:rPr>
        <w:t xml:space="preserve"> </w:t>
      </w:r>
      <w:r w:rsidRPr="00EF2B54">
        <w:rPr>
          <w:b w:val="0"/>
          <w:bCs w:val="0"/>
          <w:color w:val="000000"/>
          <w:highlight w:val="green"/>
        </w:rPr>
        <w:t>periódica</w:t>
      </w:r>
      <w:r w:rsidRPr="00EF2B54">
        <w:rPr>
          <w:b w:val="0"/>
          <w:bCs w:val="0"/>
          <w:color w:val="000000"/>
          <w:highlight w:val="green"/>
        </w:rPr>
        <w:t>)</w:t>
      </w:r>
      <w:r w:rsidRPr="00EF2B54">
        <w:rPr>
          <w:b w:val="0"/>
          <w:bCs w:val="0"/>
          <w:color w:val="000000"/>
          <w:highlight w:val="green"/>
        </w:rPr>
        <w:t xml:space="preserve"> y por qué la mejora esperada lo justifica.</w:t>
      </w:r>
    </w:p>
    <w:p w14:paraId="1FD6B8E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En qué caso el componente de IA dejaría de ser necesario.</w:t>
      </w:r>
    </w:p>
    <w:p w14:paraId="5253C017" w14:textId="77777777" w:rsidR="00EF2B54" w:rsidRDefault="00000000" w:rsidP="00EF2B54">
      <w:pPr>
        <w:spacing w:before="120" w:after="40" w:line="276" w:lineRule="auto"/>
        <w:jc w:val="both"/>
        <w:rPr>
          <w:rFonts w:ascii="Arial" w:eastAsia="Arial" w:hAnsi="Arial" w:cs="Arial"/>
          <w:b/>
          <w:bCs/>
          <w:color w:val="000000"/>
        </w:rPr>
      </w:pPr>
      <w:r w:rsidRPr="00EF2B54">
        <w:rPr>
          <w:rFonts w:ascii="Arial" w:eastAsia="Arial" w:hAnsi="Arial" w:cs="Arial"/>
          <w:b/>
          <w:bCs/>
          <w:color w:val="000000"/>
          <w:highlight w:val="green"/>
        </w:rPr>
        <w:t xml:space="preserve">Sección 3 — </w:t>
      </w:r>
      <w:r w:rsidR="00EF2B54" w:rsidRPr="00EF2B54">
        <w:rPr>
          <w:rFonts w:ascii="Arial" w:eastAsia="Arial" w:hAnsi="Arial" w:cs="Arial"/>
          <w:b/>
          <w:bCs/>
          <w:color w:val="000000"/>
          <w:highlight w:val="green"/>
        </w:rPr>
        <w:t>Descripción funcional y autonomía:</w:t>
      </w:r>
    </w:p>
    <w:p w14:paraId="5E93C864" w14:textId="7D2011B1"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Descripción de lo que el SBIA hace y del resultado que produce.</w:t>
      </w:r>
    </w:p>
    <w:p w14:paraId="667B9D8F"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Tipo de IA previsto.</w:t>
      </w:r>
    </w:p>
    <w:p w14:paraId="2F58731B"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Grado de autonomía previsto: asistencia al funcionario, interacción directa con el</w:t>
      </w:r>
    </w:p>
    <w:p w14:paraId="6F44ABD2"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administrado, influencia en la decisión o decisión sin intervención humana.</w:t>
      </w:r>
    </w:p>
    <w:p w14:paraId="35F9350E" w14:textId="2B26E643"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Punto del proceso en que interviene el SBIA y momento en que un funcionario conoce su</w:t>
      </w:r>
      <w:r w:rsidRPr="00EF2B54">
        <w:rPr>
          <w:b w:val="0"/>
          <w:bCs w:val="0"/>
          <w:color w:val="000000"/>
          <w:highlight w:val="green"/>
        </w:rPr>
        <w:t xml:space="preserve"> </w:t>
      </w:r>
      <w:r w:rsidRPr="00EF2B54">
        <w:rPr>
          <w:b w:val="0"/>
          <w:bCs w:val="0"/>
          <w:color w:val="000000"/>
          <w:highlight w:val="green"/>
        </w:rPr>
        <w:t>resultado.</w:t>
      </w:r>
    </w:p>
    <w:p w14:paraId="77DBA450" w14:textId="31B8CBF9" w:rsidR="0018147B" w:rsidRDefault="00000000" w:rsidP="00EF2B54">
      <w:pPr>
        <w:spacing w:before="120" w:after="40" w:line="276" w:lineRule="auto"/>
        <w:jc w:val="both"/>
        <w:rPr>
          <w:rFonts w:ascii="Arial" w:hAnsi="Arial" w:cs="Arial"/>
        </w:rPr>
      </w:pPr>
      <w:r w:rsidRPr="00EF2B54">
        <w:rPr>
          <w:rFonts w:ascii="Arial" w:eastAsia="Arial" w:hAnsi="Arial" w:cs="Arial"/>
          <w:b/>
          <w:bCs/>
          <w:color w:val="000000"/>
          <w:highlight w:val="green"/>
        </w:rPr>
        <w:t xml:space="preserve">Sección 4 — </w:t>
      </w:r>
      <w:r w:rsidR="00EF2B54">
        <w:rPr>
          <w:rFonts w:ascii="Arial" w:eastAsia="Arial" w:hAnsi="Arial" w:cs="Arial"/>
          <w:b/>
          <w:bCs/>
          <w:color w:val="000000"/>
          <w:highlight w:val="green"/>
        </w:rPr>
        <w:t>Datos</w:t>
      </w:r>
      <w:r w:rsidRPr="00EF2B54">
        <w:rPr>
          <w:rFonts w:ascii="Arial" w:eastAsia="Arial" w:hAnsi="Arial" w:cs="Arial"/>
          <w:b/>
          <w:bCs/>
          <w:color w:val="000000"/>
          <w:highlight w:val="green"/>
        </w:rPr>
        <w:t>:</w:t>
      </w:r>
    </w:p>
    <w:p w14:paraId="5E1C22A4" w14:textId="431306D2"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sidRPr="00CA521D">
        <w:rPr>
          <w:b w:val="0"/>
          <w:bCs w:val="0"/>
          <w:color w:val="000000"/>
          <w:highlight w:val="green"/>
        </w:rPr>
        <w:t>Datos requeridos: fuentes, tipos y presencia de datos personales o de información sujeta</w:t>
      </w:r>
      <w:r w:rsidRPr="00CA521D">
        <w:rPr>
          <w:b w:val="0"/>
          <w:bCs w:val="0"/>
          <w:color w:val="000000"/>
          <w:highlight w:val="green"/>
        </w:rPr>
        <w:t xml:space="preserve"> </w:t>
      </w:r>
      <w:r w:rsidRPr="00CA521D">
        <w:rPr>
          <w:b w:val="0"/>
          <w:bCs w:val="0"/>
          <w:color w:val="000000"/>
          <w:highlight w:val="green"/>
        </w:rPr>
        <w:t>a reserva tributaria.</w:t>
      </w:r>
    </w:p>
    <w:p w14:paraId="7869CE9B"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sidRPr="00CA521D">
        <w:rPr>
          <w:b w:val="0"/>
          <w:bCs w:val="0"/>
          <w:color w:val="000000"/>
          <w:highlight w:val="green"/>
        </w:rPr>
        <w:t>Base legal que habilita el uso de dichos datos para la finalidad del SBIA, conforme al</w:t>
      </w:r>
    </w:p>
    <w:p w14:paraId="08F3DB12" w14:textId="4BF9811A" w:rsidR="000F3595" w:rsidRPr="00CA521D" w:rsidRDefault="00CA521D" w:rsidP="00CA521D">
      <w:pPr>
        <w:pStyle w:val="Prrafodelista"/>
        <w:spacing w:before="120" w:after="40" w:line="276" w:lineRule="auto"/>
        <w:ind w:left="426" w:firstLine="0"/>
        <w:rPr>
          <w:b w:val="0"/>
          <w:bCs w:val="0"/>
          <w:color w:val="000000"/>
          <w:highlight w:val="green"/>
        </w:rPr>
      </w:pPr>
      <w:r w:rsidRPr="00CA521D">
        <w:rPr>
          <w:b w:val="0"/>
          <w:bCs w:val="0"/>
          <w:color w:val="000000"/>
          <w:highlight w:val="green"/>
        </w:rPr>
        <w:lastRenderedPageBreak/>
        <w:t>numeral 6.8.3 de la presente directiva, y restricciones aplicables.</w:t>
      </w:r>
    </w:p>
    <w:p w14:paraId="0E597137" w14:textId="7B4AB15C" w:rsidR="0018147B" w:rsidRPr="00DE4308" w:rsidRDefault="00000000" w:rsidP="00EF2B54">
      <w:pPr>
        <w:spacing w:before="120" w:after="40" w:line="276" w:lineRule="auto"/>
        <w:jc w:val="both"/>
        <w:rPr>
          <w:rFonts w:ascii="Arial" w:hAnsi="Arial" w:cs="Arial"/>
          <w:highlight w:val="green"/>
        </w:rPr>
      </w:pPr>
      <w:r w:rsidRPr="00DE4308">
        <w:rPr>
          <w:rFonts w:ascii="Arial" w:eastAsia="Arial" w:hAnsi="Arial" w:cs="Arial"/>
          <w:b/>
          <w:bCs/>
          <w:color w:val="000000"/>
          <w:highlight w:val="green"/>
        </w:rPr>
        <w:t xml:space="preserve">Sección 5 — </w:t>
      </w:r>
      <w:r w:rsidR="00DE4308" w:rsidRPr="00DE4308">
        <w:rPr>
          <w:rFonts w:ascii="Arial" w:eastAsia="Arial" w:hAnsi="Arial" w:cs="Arial"/>
          <w:b/>
          <w:bCs/>
          <w:color w:val="000000"/>
          <w:highlight w:val="green"/>
        </w:rPr>
        <w:t>Efecto sobre las personas y los procesos</w:t>
      </w:r>
      <w:r w:rsidRPr="00DE4308">
        <w:rPr>
          <w:rFonts w:ascii="Arial" w:eastAsia="Arial" w:hAnsi="Arial" w:cs="Arial"/>
          <w:b/>
          <w:bCs/>
          <w:color w:val="000000"/>
          <w:highlight w:val="green"/>
        </w:rPr>
        <w:t>:</w:t>
      </w:r>
    </w:p>
    <w:p w14:paraId="205F7D23" w14:textId="7F182D7C"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Efecto del resultado del SBIA en derechos, obligaciones o en la atención de los</w:t>
      </w:r>
      <w:r>
        <w:rPr>
          <w:b w:val="0"/>
          <w:bCs w:val="0"/>
          <w:color w:val="000000"/>
          <w:highlight w:val="green"/>
        </w:rPr>
        <w:t xml:space="preserve"> </w:t>
      </w:r>
      <w:r w:rsidRPr="00DE4308">
        <w:rPr>
          <w:b w:val="0"/>
          <w:bCs w:val="0"/>
          <w:color w:val="000000"/>
          <w:highlight w:val="green"/>
        </w:rPr>
        <w:t>administrados.</w:t>
      </w:r>
    </w:p>
    <w:p w14:paraId="0A50647C"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Alcance estimado: personas, contribuyentes u operaciones comprendidas, y volumen previsto.</w:t>
      </w:r>
    </w:p>
    <w:p w14:paraId="492BA870"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Posibilidad de revertir o corregir un resultado erróneo, y cómo se haría.</w:t>
      </w:r>
    </w:p>
    <w:p w14:paraId="2AE99DCA"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Procesos, unidades de organización y puestos involucrados.</w:t>
      </w:r>
    </w:p>
    <w:p w14:paraId="0245D330" w14:textId="4E45C2A3"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Clasificación de riesgo preliminar sugerida por el propietario del caso de uso conforme al</w:t>
      </w:r>
      <w:r w:rsidRPr="00DE4308">
        <w:rPr>
          <w:b w:val="0"/>
          <w:bCs w:val="0"/>
          <w:color w:val="000000"/>
          <w:highlight w:val="green"/>
        </w:rPr>
        <w:t xml:space="preserve"> </w:t>
      </w:r>
      <w:r w:rsidRPr="00DE4308">
        <w:rPr>
          <w:b w:val="0"/>
          <w:bCs w:val="0"/>
          <w:color w:val="000000"/>
          <w:highlight w:val="green"/>
        </w:rPr>
        <w:t>Anexo N.° 2. Es referencial y no vincula a la Comisión de Gobierno de IA.</w:t>
      </w:r>
    </w:p>
    <w:p w14:paraId="0B8489D8" w14:textId="5B048907" w:rsidR="0018147B" w:rsidRPr="00DE4308" w:rsidRDefault="00000000">
      <w:pPr>
        <w:spacing w:before="120" w:after="40" w:line="276" w:lineRule="auto"/>
        <w:jc w:val="both"/>
        <w:rPr>
          <w:rFonts w:ascii="Arial" w:hAnsi="Arial" w:cs="Arial"/>
          <w:highlight w:val="green"/>
        </w:rPr>
      </w:pPr>
      <w:r w:rsidRPr="00DE4308">
        <w:rPr>
          <w:rFonts w:ascii="Arial" w:eastAsia="Arial" w:hAnsi="Arial" w:cs="Arial"/>
          <w:b/>
          <w:bCs/>
          <w:color w:val="000000"/>
          <w:highlight w:val="green"/>
        </w:rPr>
        <w:t xml:space="preserve">Sección </w:t>
      </w:r>
      <w:r w:rsidR="00DE4308" w:rsidRPr="00DE4308">
        <w:rPr>
          <w:rFonts w:ascii="Arial" w:eastAsia="Arial" w:hAnsi="Arial" w:cs="Arial"/>
          <w:b/>
          <w:bCs/>
          <w:color w:val="000000"/>
          <w:highlight w:val="green"/>
        </w:rPr>
        <w:t>6</w:t>
      </w:r>
      <w:r w:rsidRPr="00DE4308">
        <w:rPr>
          <w:rFonts w:ascii="Arial" w:eastAsia="Arial" w:hAnsi="Arial" w:cs="Arial"/>
          <w:b/>
          <w:bCs/>
          <w:color w:val="000000"/>
          <w:highlight w:val="green"/>
        </w:rPr>
        <w:t xml:space="preserve"> — Firmas:</w:t>
      </w:r>
    </w:p>
    <w:p w14:paraId="76A8D059" w14:textId="77777777" w:rsidR="00863A18" w:rsidRPr="00DE4308" w:rsidRDefault="00863A18" w:rsidP="00DE4308">
      <w:pPr>
        <w:pStyle w:val="Prrafodelista"/>
        <w:numPr>
          <w:ilvl w:val="0"/>
          <w:numId w:val="36"/>
        </w:numPr>
        <w:spacing w:after="40" w:line="276" w:lineRule="auto"/>
        <w:ind w:left="426"/>
        <w:rPr>
          <w:b w:val="0"/>
          <w:bCs w:val="0"/>
          <w:highlight w:val="green"/>
        </w:rPr>
      </w:pPr>
      <w:r w:rsidRPr="00DE4308">
        <w:rPr>
          <w:b w:val="0"/>
          <w:bCs w:val="0"/>
          <w:color w:val="000000"/>
          <w:highlight w:val="green"/>
        </w:rPr>
        <w:t>Firma del propietario del caso de uso.</w:t>
      </w:r>
    </w:p>
    <w:p w14:paraId="454DDEF7" w14:textId="77777777" w:rsidR="00863A18" w:rsidRPr="00DE4308" w:rsidRDefault="00863A18" w:rsidP="00DE4308">
      <w:pPr>
        <w:pStyle w:val="Prrafodelista"/>
        <w:numPr>
          <w:ilvl w:val="0"/>
          <w:numId w:val="36"/>
        </w:numPr>
        <w:spacing w:after="40" w:line="276" w:lineRule="auto"/>
        <w:ind w:left="426"/>
        <w:rPr>
          <w:highlight w:val="green"/>
        </w:rPr>
      </w:pPr>
      <w:r w:rsidRPr="00DE4308">
        <w:rPr>
          <w:b w:val="0"/>
          <w:bCs w:val="0"/>
          <w:color w:val="000000"/>
          <w:highlight w:val="green"/>
        </w:rPr>
        <w:t>Visto bueno del Intendente de la unidad solicitante.</w:t>
      </w:r>
    </w:p>
    <w:p w14:paraId="576F94A7" w14:textId="77777777" w:rsidR="00ED2DC8" w:rsidRPr="00923C59" w:rsidRDefault="00ED2DC8" w:rsidP="00B23382">
      <w:pPr>
        <w:spacing w:after="0" w:line="276" w:lineRule="auto"/>
        <w:rPr>
          <w:rFonts w:ascii="Arial" w:hAnsi="Arial" w:cs="Arial"/>
        </w:rPr>
      </w:pPr>
    </w:p>
    <w:sectPr w:rsidR="00ED2DC8" w:rsidRPr="00923C59" w:rsidSect="00603B7D">
      <w:headerReference w:type="default" r:id="rId12"/>
      <w:footerReference w:type="default" r:id="rId13"/>
      <w:pgSz w:w="11906" w:h="16838"/>
      <w:pgMar w:top="1701" w:right="1418" w:bottom="1701"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BFF9D3" w14:textId="77777777" w:rsidR="002D58BE" w:rsidRDefault="002D58BE">
      <w:pPr>
        <w:spacing w:after="0" w:line="240" w:lineRule="auto"/>
      </w:pPr>
      <w:r>
        <w:separator/>
      </w:r>
    </w:p>
  </w:endnote>
  <w:endnote w:type="continuationSeparator" w:id="0">
    <w:p w14:paraId="44BDF6EC" w14:textId="77777777" w:rsidR="002D58BE" w:rsidRDefault="002D58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44DF2"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558D9E" w14:textId="77777777" w:rsidR="002D58BE" w:rsidRDefault="002D58BE">
      <w:pPr>
        <w:spacing w:after="0" w:line="240" w:lineRule="auto"/>
      </w:pPr>
      <w:r>
        <w:separator/>
      </w:r>
    </w:p>
  </w:footnote>
  <w:footnote w:type="continuationSeparator" w:id="0">
    <w:p w14:paraId="1D2B6709" w14:textId="77777777" w:rsidR="002D58BE" w:rsidRDefault="002D58BE">
      <w:pPr>
        <w:spacing w:after="0" w:line="240" w:lineRule="auto"/>
      </w:pPr>
      <w:r>
        <w:continuationSeparator/>
      </w:r>
    </w:p>
  </w:footnote>
  <w:footnote w:id="1">
    <w:p w14:paraId="4793C922" w14:textId="77777777" w:rsidR="00594919" w:rsidRDefault="00000000">
      <w:pPr>
        <w:pStyle w:val="Textonotapie"/>
      </w:pPr>
      <w:r>
        <w:rPr>
          <w:rStyle w:val="Refdenotaalpie"/>
        </w:rPr>
        <w:footnoteRef/>
      </w:r>
      <w:r>
        <w:rPr>
          <w:rFonts w:ascii="Arial" w:hAnsi="Arial" w:cs="Arial"/>
        </w:rPr>
        <w:t xml:space="preserve"> Numeral 30.1 del artículo 30 del RLIA.</w:t>
      </w:r>
    </w:p>
  </w:footnote>
  <w:footnote w:id="2">
    <w:p w14:paraId="0B97E86F"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3">
    <w:p w14:paraId="5DBC9DF3" w14:textId="77777777" w:rsidR="00594919" w:rsidRDefault="00000000">
      <w:pPr>
        <w:pStyle w:val="Textonotapie"/>
      </w:pPr>
      <w:r>
        <w:rPr>
          <w:rStyle w:val="Refdenotaalpie"/>
        </w:rPr>
        <w:footnoteRef/>
      </w:r>
      <w:r>
        <w:rPr>
          <w:rFonts w:ascii="Arial" w:hAnsi="Arial" w:cs="Arial"/>
        </w:rPr>
        <w:t xml:space="preserve"> En particular, el numeral 28.6 del artículo 28 del RLIA.</w:t>
      </w:r>
    </w:p>
  </w:footnote>
  <w:footnote w:id="4">
    <w:p w14:paraId="280452E3"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5">
    <w:p w14:paraId="48EC9F9D"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6">
    <w:p w14:paraId="38B41903"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7">
    <w:p w14:paraId="70304CC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8">
    <w:p w14:paraId="07FF1D9B"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9">
    <w:p w14:paraId="611F8193"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10">
    <w:p w14:paraId="10BABC12"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11">
    <w:p w14:paraId="66CDC5F2"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2">
    <w:p w14:paraId="63E84CEE"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3">
    <w:p w14:paraId="61DC2BB0"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4">
    <w:p w14:paraId="5684E7FC" w14:textId="77777777" w:rsidR="00594919" w:rsidRDefault="00000000">
      <w:pPr>
        <w:pStyle w:val="Textonotapie"/>
      </w:pPr>
      <w:r>
        <w:rPr>
          <w:rStyle w:val="Refdenotaalpie"/>
        </w:rPr>
        <w:footnoteRef/>
      </w:r>
      <w:r>
        <w:rPr>
          <w:rFonts w:ascii="Arial" w:hAnsi="Arial" w:cs="Arial"/>
        </w:rPr>
        <w:t xml:space="preserve"> Numeral 28.9 del artículo 28 del RLIA.</w:t>
      </w:r>
    </w:p>
  </w:footnote>
  <w:footnote w:id="15">
    <w:p w14:paraId="43C4A1B6"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79E358ED" w14:textId="77777777" w:rsidTr="00BE16A3">
      <w:trPr>
        <w:trHeight w:val="474"/>
        <w:jc w:val="right"/>
      </w:trPr>
      <w:tc>
        <w:tcPr>
          <w:tcW w:w="4492" w:type="pct"/>
          <w:tcBorders>
            <w:right w:val="single" w:sz="6" w:space="0" w:color="000000"/>
          </w:tcBorders>
        </w:tcPr>
        <w:p w14:paraId="56CE6EB2"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48798B57"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1D77183"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1791C72"/>
    <w:multiLevelType w:val="hybridMultilevel"/>
    <w:tmpl w:val="863C19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CD40C7"/>
    <w:multiLevelType w:val="hybridMultilevel"/>
    <w:tmpl w:val="AE2200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5" w15:restartNumberingAfterBreak="0">
    <w:nsid w:val="0DF53514"/>
    <w:multiLevelType w:val="hybridMultilevel"/>
    <w:tmpl w:val="0290861C"/>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16043A28"/>
    <w:multiLevelType w:val="hybridMultilevel"/>
    <w:tmpl w:val="BF98B002"/>
    <w:lvl w:ilvl="0" w:tplc="280A0001">
      <w:start w:val="1"/>
      <w:numFmt w:val="bullet"/>
      <w:lvlText w:val=""/>
      <w:lvlJc w:val="left"/>
      <w:pPr>
        <w:ind w:left="1996" w:hanging="360"/>
      </w:pPr>
      <w:rPr>
        <w:rFonts w:ascii="Symbol" w:hAnsi="Symbol" w:hint="default"/>
      </w:rPr>
    </w:lvl>
    <w:lvl w:ilvl="1" w:tplc="280A0003" w:tentative="1">
      <w:start w:val="1"/>
      <w:numFmt w:val="bullet"/>
      <w:lvlText w:val="o"/>
      <w:lvlJc w:val="left"/>
      <w:pPr>
        <w:ind w:left="2716" w:hanging="360"/>
      </w:pPr>
      <w:rPr>
        <w:rFonts w:ascii="Courier New" w:hAnsi="Courier New" w:cs="Courier New" w:hint="default"/>
      </w:rPr>
    </w:lvl>
    <w:lvl w:ilvl="2" w:tplc="280A0005" w:tentative="1">
      <w:start w:val="1"/>
      <w:numFmt w:val="bullet"/>
      <w:lvlText w:val=""/>
      <w:lvlJc w:val="left"/>
      <w:pPr>
        <w:ind w:left="3436" w:hanging="360"/>
      </w:pPr>
      <w:rPr>
        <w:rFonts w:ascii="Wingdings" w:hAnsi="Wingdings" w:hint="default"/>
      </w:rPr>
    </w:lvl>
    <w:lvl w:ilvl="3" w:tplc="280A0001" w:tentative="1">
      <w:start w:val="1"/>
      <w:numFmt w:val="bullet"/>
      <w:lvlText w:val=""/>
      <w:lvlJc w:val="left"/>
      <w:pPr>
        <w:ind w:left="4156" w:hanging="360"/>
      </w:pPr>
      <w:rPr>
        <w:rFonts w:ascii="Symbol" w:hAnsi="Symbol" w:hint="default"/>
      </w:rPr>
    </w:lvl>
    <w:lvl w:ilvl="4" w:tplc="280A0003" w:tentative="1">
      <w:start w:val="1"/>
      <w:numFmt w:val="bullet"/>
      <w:lvlText w:val="o"/>
      <w:lvlJc w:val="left"/>
      <w:pPr>
        <w:ind w:left="4876" w:hanging="360"/>
      </w:pPr>
      <w:rPr>
        <w:rFonts w:ascii="Courier New" w:hAnsi="Courier New" w:cs="Courier New" w:hint="default"/>
      </w:rPr>
    </w:lvl>
    <w:lvl w:ilvl="5" w:tplc="280A0005" w:tentative="1">
      <w:start w:val="1"/>
      <w:numFmt w:val="bullet"/>
      <w:lvlText w:val=""/>
      <w:lvlJc w:val="left"/>
      <w:pPr>
        <w:ind w:left="5596" w:hanging="360"/>
      </w:pPr>
      <w:rPr>
        <w:rFonts w:ascii="Wingdings" w:hAnsi="Wingdings" w:hint="default"/>
      </w:rPr>
    </w:lvl>
    <w:lvl w:ilvl="6" w:tplc="280A0001" w:tentative="1">
      <w:start w:val="1"/>
      <w:numFmt w:val="bullet"/>
      <w:lvlText w:val=""/>
      <w:lvlJc w:val="left"/>
      <w:pPr>
        <w:ind w:left="6316" w:hanging="360"/>
      </w:pPr>
      <w:rPr>
        <w:rFonts w:ascii="Symbol" w:hAnsi="Symbol" w:hint="default"/>
      </w:rPr>
    </w:lvl>
    <w:lvl w:ilvl="7" w:tplc="280A0003" w:tentative="1">
      <w:start w:val="1"/>
      <w:numFmt w:val="bullet"/>
      <w:lvlText w:val="o"/>
      <w:lvlJc w:val="left"/>
      <w:pPr>
        <w:ind w:left="7036" w:hanging="360"/>
      </w:pPr>
      <w:rPr>
        <w:rFonts w:ascii="Courier New" w:hAnsi="Courier New" w:cs="Courier New" w:hint="default"/>
      </w:rPr>
    </w:lvl>
    <w:lvl w:ilvl="8" w:tplc="280A0005" w:tentative="1">
      <w:start w:val="1"/>
      <w:numFmt w:val="bullet"/>
      <w:lvlText w:val=""/>
      <w:lvlJc w:val="left"/>
      <w:pPr>
        <w:ind w:left="7756" w:hanging="360"/>
      </w:pPr>
      <w:rPr>
        <w:rFonts w:ascii="Wingdings" w:hAnsi="Wingdings" w:hint="default"/>
      </w:rPr>
    </w:lvl>
  </w:abstractNum>
  <w:abstractNum w:abstractNumId="7" w15:restartNumberingAfterBreak="0">
    <w:nsid w:val="21086EC9"/>
    <w:multiLevelType w:val="hybridMultilevel"/>
    <w:tmpl w:val="E3386E46"/>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1C826D7"/>
    <w:multiLevelType w:val="hybridMultilevel"/>
    <w:tmpl w:val="031E17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0" w15:restartNumberingAfterBreak="0">
    <w:nsid w:val="26537F64"/>
    <w:multiLevelType w:val="hybridMultilevel"/>
    <w:tmpl w:val="432EC13A"/>
    <w:lvl w:ilvl="0" w:tplc="4A0891E2">
      <w:start w:val="1"/>
      <w:numFmt w:val="lowerLetter"/>
      <w:lvlText w:val="%1)"/>
      <w:lvlJc w:val="left"/>
      <w:pPr>
        <w:ind w:left="1287" w:hanging="360"/>
      </w:pPr>
      <w:rPr>
        <w:b w:val="0"/>
        <w:bCs w:val="0"/>
      </w:r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1"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06438F9"/>
    <w:multiLevelType w:val="hybridMultilevel"/>
    <w:tmpl w:val="BFF26102"/>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4"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8"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4F2B7D15"/>
    <w:multiLevelType w:val="hybridMultilevel"/>
    <w:tmpl w:val="CA2A221A"/>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2"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61FD7A2B"/>
    <w:multiLevelType w:val="hybridMultilevel"/>
    <w:tmpl w:val="15F6DC90"/>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25" w15:restartNumberingAfterBreak="0">
    <w:nsid w:val="65D30CFE"/>
    <w:multiLevelType w:val="hybridMultilevel"/>
    <w:tmpl w:val="660AEFD2"/>
    <w:lvl w:ilvl="0" w:tplc="280A0019">
      <w:start w:val="1"/>
      <w:numFmt w:val="lowerLetter"/>
      <w:lvlText w:val="%1."/>
      <w:lvlJc w:val="left"/>
      <w:pPr>
        <w:ind w:left="720" w:hanging="360"/>
      </w:pPr>
    </w:lvl>
    <w:lvl w:ilvl="1" w:tplc="E6C6BFDA">
      <w:start w:val="1"/>
      <w:numFmt w:val="lowerLetter"/>
      <w:lvlText w:val="%2)"/>
      <w:lvlJc w:val="left"/>
      <w:pPr>
        <w:ind w:left="1440" w:hanging="36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2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2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6CFA73D9"/>
    <w:multiLevelType w:val="hybridMultilevel"/>
    <w:tmpl w:val="5A46AE7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6"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24"/>
  </w:num>
  <w:num w:numId="2" w16cid:durableId="997340142">
    <w:abstractNumId w:val="4"/>
  </w:num>
  <w:num w:numId="3" w16cid:durableId="818888625">
    <w:abstractNumId w:val="18"/>
  </w:num>
  <w:num w:numId="4" w16cid:durableId="789980796">
    <w:abstractNumId w:val="19"/>
  </w:num>
  <w:num w:numId="5" w16cid:durableId="2135756204">
    <w:abstractNumId w:val="9"/>
  </w:num>
  <w:num w:numId="6" w16cid:durableId="1603613276">
    <w:abstractNumId w:val="13"/>
  </w:num>
  <w:num w:numId="7" w16cid:durableId="1698236715">
    <w:abstractNumId w:val="34"/>
  </w:num>
  <w:num w:numId="8" w16cid:durableId="1567180075">
    <w:abstractNumId w:val="36"/>
  </w:num>
  <w:num w:numId="9" w16cid:durableId="260988981">
    <w:abstractNumId w:val="28"/>
  </w:num>
  <w:num w:numId="10" w16cid:durableId="360321617">
    <w:abstractNumId w:val="21"/>
  </w:num>
  <w:num w:numId="11" w16cid:durableId="11301047">
    <w:abstractNumId w:val="27"/>
  </w:num>
  <w:num w:numId="12" w16cid:durableId="104814016">
    <w:abstractNumId w:val="31"/>
  </w:num>
  <w:num w:numId="13" w16cid:durableId="1885175596">
    <w:abstractNumId w:val="0"/>
  </w:num>
  <w:num w:numId="14" w16cid:durableId="167066823">
    <w:abstractNumId w:val="32"/>
  </w:num>
  <w:num w:numId="15" w16cid:durableId="954553902">
    <w:abstractNumId w:val="29"/>
  </w:num>
  <w:num w:numId="16" w16cid:durableId="1324506319">
    <w:abstractNumId w:val="16"/>
  </w:num>
  <w:num w:numId="17" w16cid:durableId="1839225738">
    <w:abstractNumId w:val="35"/>
  </w:num>
  <w:num w:numId="18" w16cid:durableId="267396013">
    <w:abstractNumId w:val="22"/>
  </w:num>
  <w:num w:numId="19" w16cid:durableId="1228301004">
    <w:abstractNumId w:val="25"/>
  </w:num>
  <w:num w:numId="20" w16cid:durableId="554125780">
    <w:abstractNumId w:val="14"/>
  </w:num>
  <w:num w:numId="21" w16cid:durableId="1964574287">
    <w:abstractNumId w:val="17"/>
  </w:num>
  <w:num w:numId="22" w16cid:durableId="1868059492">
    <w:abstractNumId w:val="26"/>
  </w:num>
  <w:num w:numId="23" w16cid:durableId="529534098">
    <w:abstractNumId w:val="3"/>
  </w:num>
  <w:num w:numId="24" w16cid:durableId="1828084485">
    <w:abstractNumId w:val="15"/>
  </w:num>
  <w:num w:numId="25" w16cid:durableId="1934242185">
    <w:abstractNumId w:val="11"/>
  </w:num>
  <w:num w:numId="26" w16cid:durableId="1799032513">
    <w:abstractNumId w:val="33"/>
  </w:num>
  <w:num w:numId="27" w16cid:durableId="98570134">
    <w:abstractNumId w:val="10"/>
  </w:num>
  <w:num w:numId="28" w16cid:durableId="1517381528">
    <w:abstractNumId w:val="5"/>
  </w:num>
  <w:num w:numId="29" w16cid:durableId="823667415">
    <w:abstractNumId w:val="12"/>
  </w:num>
  <w:num w:numId="30" w16cid:durableId="1665426430">
    <w:abstractNumId w:val="20"/>
  </w:num>
  <w:num w:numId="31" w16cid:durableId="724336090">
    <w:abstractNumId w:val="23"/>
  </w:num>
  <w:num w:numId="32" w16cid:durableId="1229151702">
    <w:abstractNumId w:val="7"/>
  </w:num>
  <w:num w:numId="33" w16cid:durableId="1877502275">
    <w:abstractNumId w:val="1"/>
  </w:num>
  <w:num w:numId="34" w16cid:durableId="395935091">
    <w:abstractNumId w:val="2"/>
  </w:num>
  <w:num w:numId="35" w16cid:durableId="996500697">
    <w:abstractNumId w:val="8"/>
  </w:num>
  <w:num w:numId="36" w16cid:durableId="955452418">
    <w:abstractNumId w:val="30"/>
  </w:num>
  <w:num w:numId="37" w16cid:durableId="856163588">
    <w:abstractNumId w:val="6"/>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displayBackgroundShape/>
  <w:activeWritingStyle w:appName="MSWord" w:lang="es-PE" w:vendorID="64" w:dllVersion="0" w:nlCheck="1" w:checkStyle="0"/>
  <w:activeWritingStyle w:appName="MSWord" w:lang="en-US" w:vendorID="64" w:dllVersion="0" w:nlCheck="1" w:checkStyle="0"/>
  <w:proofState w:spelling="clean" w:grammar="clean"/>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6CDE"/>
    <w:rsid w:val="00013D8E"/>
    <w:rsid w:val="000153F0"/>
    <w:rsid w:val="00025734"/>
    <w:rsid w:val="00026A41"/>
    <w:rsid w:val="000365E0"/>
    <w:rsid w:val="00043B19"/>
    <w:rsid w:val="00047728"/>
    <w:rsid w:val="000B6CAE"/>
    <w:rsid w:val="000C43E2"/>
    <w:rsid w:val="000C7600"/>
    <w:rsid w:val="000E3950"/>
    <w:rsid w:val="000E4C2C"/>
    <w:rsid w:val="000E5B6B"/>
    <w:rsid w:val="000E7544"/>
    <w:rsid w:val="000F3595"/>
    <w:rsid w:val="001164EE"/>
    <w:rsid w:val="00141E9A"/>
    <w:rsid w:val="001437F1"/>
    <w:rsid w:val="00153C2B"/>
    <w:rsid w:val="001609F8"/>
    <w:rsid w:val="00164552"/>
    <w:rsid w:val="00166F8B"/>
    <w:rsid w:val="00171767"/>
    <w:rsid w:val="00174519"/>
    <w:rsid w:val="00180A95"/>
    <w:rsid w:val="0018147B"/>
    <w:rsid w:val="0018222F"/>
    <w:rsid w:val="001B791A"/>
    <w:rsid w:val="001C5C4D"/>
    <w:rsid w:val="001D0B85"/>
    <w:rsid w:val="001E5BAD"/>
    <w:rsid w:val="001F1383"/>
    <w:rsid w:val="001F16B0"/>
    <w:rsid w:val="001F28C5"/>
    <w:rsid w:val="00206379"/>
    <w:rsid w:val="002102ED"/>
    <w:rsid w:val="00215BA9"/>
    <w:rsid w:val="002222E3"/>
    <w:rsid w:val="00226840"/>
    <w:rsid w:val="00236A5F"/>
    <w:rsid w:val="002555BF"/>
    <w:rsid w:val="00261D87"/>
    <w:rsid w:val="0026696B"/>
    <w:rsid w:val="002711BE"/>
    <w:rsid w:val="00272134"/>
    <w:rsid w:val="002840F0"/>
    <w:rsid w:val="002950F6"/>
    <w:rsid w:val="002A5658"/>
    <w:rsid w:val="002D136C"/>
    <w:rsid w:val="002D4E18"/>
    <w:rsid w:val="002D58BE"/>
    <w:rsid w:val="003071B9"/>
    <w:rsid w:val="003173B4"/>
    <w:rsid w:val="003204D8"/>
    <w:rsid w:val="00325777"/>
    <w:rsid w:val="00325F1C"/>
    <w:rsid w:val="00326739"/>
    <w:rsid w:val="003325F7"/>
    <w:rsid w:val="003327C9"/>
    <w:rsid w:val="0033689D"/>
    <w:rsid w:val="00344C8A"/>
    <w:rsid w:val="00352D87"/>
    <w:rsid w:val="003530CE"/>
    <w:rsid w:val="003636BC"/>
    <w:rsid w:val="003665C6"/>
    <w:rsid w:val="003758C8"/>
    <w:rsid w:val="003922D5"/>
    <w:rsid w:val="003A6AB9"/>
    <w:rsid w:val="003A7976"/>
    <w:rsid w:val="003B242A"/>
    <w:rsid w:val="003B6E7C"/>
    <w:rsid w:val="003B7D61"/>
    <w:rsid w:val="003C1E3F"/>
    <w:rsid w:val="003E2526"/>
    <w:rsid w:val="003E4730"/>
    <w:rsid w:val="003F591A"/>
    <w:rsid w:val="00444444"/>
    <w:rsid w:val="004503ED"/>
    <w:rsid w:val="0045319E"/>
    <w:rsid w:val="00462A57"/>
    <w:rsid w:val="00463CDC"/>
    <w:rsid w:val="00467C46"/>
    <w:rsid w:val="0047575A"/>
    <w:rsid w:val="00485890"/>
    <w:rsid w:val="004A50A6"/>
    <w:rsid w:val="004A6881"/>
    <w:rsid w:val="004B3330"/>
    <w:rsid w:val="004C17C6"/>
    <w:rsid w:val="004C4F5D"/>
    <w:rsid w:val="004C7B15"/>
    <w:rsid w:val="004D01A4"/>
    <w:rsid w:val="004E204E"/>
    <w:rsid w:val="004F49BB"/>
    <w:rsid w:val="00502E18"/>
    <w:rsid w:val="0050738A"/>
    <w:rsid w:val="00512CEC"/>
    <w:rsid w:val="00521B40"/>
    <w:rsid w:val="00524301"/>
    <w:rsid w:val="00532CB5"/>
    <w:rsid w:val="00535686"/>
    <w:rsid w:val="00537E02"/>
    <w:rsid w:val="0054144C"/>
    <w:rsid w:val="00553A03"/>
    <w:rsid w:val="00567C78"/>
    <w:rsid w:val="00570612"/>
    <w:rsid w:val="00590BAB"/>
    <w:rsid w:val="00594919"/>
    <w:rsid w:val="005B30EE"/>
    <w:rsid w:val="005C3A70"/>
    <w:rsid w:val="005C4042"/>
    <w:rsid w:val="005C67EA"/>
    <w:rsid w:val="005D5880"/>
    <w:rsid w:val="005D754C"/>
    <w:rsid w:val="005F24C2"/>
    <w:rsid w:val="005F3265"/>
    <w:rsid w:val="0060099A"/>
    <w:rsid w:val="00603B7D"/>
    <w:rsid w:val="0065257C"/>
    <w:rsid w:val="00662A54"/>
    <w:rsid w:val="00663503"/>
    <w:rsid w:val="006653DD"/>
    <w:rsid w:val="00665F3F"/>
    <w:rsid w:val="00670027"/>
    <w:rsid w:val="00677324"/>
    <w:rsid w:val="006806C8"/>
    <w:rsid w:val="00682244"/>
    <w:rsid w:val="00691FB4"/>
    <w:rsid w:val="00697B72"/>
    <w:rsid w:val="006B3AF5"/>
    <w:rsid w:val="006B4241"/>
    <w:rsid w:val="006C344B"/>
    <w:rsid w:val="006D44AB"/>
    <w:rsid w:val="006E0C91"/>
    <w:rsid w:val="006F5C22"/>
    <w:rsid w:val="006F6A67"/>
    <w:rsid w:val="00714044"/>
    <w:rsid w:val="007216B6"/>
    <w:rsid w:val="00722166"/>
    <w:rsid w:val="007324DC"/>
    <w:rsid w:val="00736724"/>
    <w:rsid w:val="0075082A"/>
    <w:rsid w:val="007536D0"/>
    <w:rsid w:val="007614B5"/>
    <w:rsid w:val="00771AB8"/>
    <w:rsid w:val="007808CA"/>
    <w:rsid w:val="00790E37"/>
    <w:rsid w:val="007C4F40"/>
    <w:rsid w:val="007D181A"/>
    <w:rsid w:val="007F4CB9"/>
    <w:rsid w:val="0080359D"/>
    <w:rsid w:val="00807C98"/>
    <w:rsid w:val="0081311B"/>
    <w:rsid w:val="00814A4B"/>
    <w:rsid w:val="008326EA"/>
    <w:rsid w:val="00833450"/>
    <w:rsid w:val="00833CDE"/>
    <w:rsid w:val="00836DA1"/>
    <w:rsid w:val="0084436F"/>
    <w:rsid w:val="008540A5"/>
    <w:rsid w:val="00863A18"/>
    <w:rsid w:val="0087077E"/>
    <w:rsid w:val="008776A6"/>
    <w:rsid w:val="008A143D"/>
    <w:rsid w:val="008B010D"/>
    <w:rsid w:val="008B2BEE"/>
    <w:rsid w:val="008B4A51"/>
    <w:rsid w:val="008D0FF0"/>
    <w:rsid w:val="008D42AD"/>
    <w:rsid w:val="008D444A"/>
    <w:rsid w:val="008E1026"/>
    <w:rsid w:val="008E63B0"/>
    <w:rsid w:val="008E72B6"/>
    <w:rsid w:val="008F1147"/>
    <w:rsid w:val="00911E71"/>
    <w:rsid w:val="00923C59"/>
    <w:rsid w:val="00926244"/>
    <w:rsid w:val="00931E16"/>
    <w:rsid w:val="009326E3"/>
    <w:rsid w:val="00937598"/>
    <w:rsid w:val="009576CD"/>
    <w:rsid w:val="00972640"/>
    <w:rsid w:val="00975D3B"/>
    <w:rsid w:val="00976029"/>
    <w:rsid w:val="00992360"/>
    <w:rsid w:val="00997013"/>
    <w:rsid w:val="009A1F1B"/>
    <w:rsid w:val="009B2D6B"/>
    <w:rsid w:val="009C297E"/>
    <w:rsid w:val="009E0389"/>
    <w:rsid w:val="009E4983"/>
    <w:rsid w:val="009E7E49"/>
    <w:rsid w:val="009F2465"/>
    <w:rsid w:val="009F6B32"/>
    <w:rsid w:val="00A009CE"/>
    <w:rsid w:val="00A13B62"/>
    <w:rsid w:val="00A149DD"/>
    <w:rsid w:val="00A15156"/>
    <w:rsid w:val="00A2302D"/>
    <w:rsid w:val="00A3530D"/>
    <w:rsid w:val="00A402D8"/>
    <w:rsid w:val="00A447B6"/>
    <w:rsid w:val="00A46D47"/>
    <w:rsid w:val="00A62D43"/>
    <w:rsid w:val="00A710F3"/>
    <w:rsid w:val="00A71D9E"/>
    <w:rsid w:val="00A72414"/>
    <w:rsid w:val="00A80853"/>
    <w:rsid w:val="00A80AFB"/>
    <w:rsid w:val="00A82512"/>
    <w:rsid w:val="00A82BA1"/>
    <w:rsid w:val="00A82FE3"/>
    <w:rsid w:val="00A84B43"/>
    <w:rsid w:val="00A84BB6"/>
    <w:rsid w:val="00A84EC0"/>
    <w:rsid w:val="00A964A4"/>
    <w:rsid w:val="00AA0ACB"/>
    <w:rsid w:val="00AA2DB4"/>
    <w:rsid w:val="00AB0407"/>
    <w:rsid w:val="00AB5DBB"/>
    <w:rsid w:val="00AC727E"/>
    <w:rsid w:val="00AD458B"/>
    <w:rsid w:val="00AD5F7D"/>
    <w:rsid w:val="00AE1F2D"/>
    <w:rsid w:val="00AE3DBA"/>
    <w:rsid w:val="00AE6854"/>
    <w:rsid w:val="00AF2BA4"/>
    <w:rsid w:val="00B065C5"/>
    <w:rsid w:val="00B10C11"/>
    <w:rsid w:val="00B23382"/>
    <w:rsid w:val="00B27FA6"/>
    <w:rsid w:val="00B34A74"/>
    <w:rsid w:val="00B357D5"/>
    <w:rsid w:val="00B46315"/>
    <w:rsid w:val="00B474EF"/>
    <w:rsid w:val="00B629FD"/>
    <w:rsid w:val="00B63942"/>
    <w:rsid w:val="00B71027"/>
    <w:rsid w:val="00B72BA5"/>
    <w:rsid w:val="00B72DD0"/>
    <w:rsid w:val="00B80805"/>
    <w:rsid w:val="00B852DB"/>
    <w:rsid w:val="00B87F34"/>
    <w:rsid w:val="00B9744D"/>
    <w:rsid w:val="00BA798A"/>
    <w:rsid w:val="00BB6113"/>
    <w:rsid w:val="00BC6E5C"/>
    <w:rsid w:val="00BF42FB"/>
    <w:rsid w:val="00BF6420"/>
    <w:rsid w:val="00C01186"/>
    <w:rsid w:val="00C0412A"/>
    <w:rsid w:val="00C051C7"/>
    <w:rsid w:val="00C102C9"/>
    <w:rsid w:val="00C14706"/>
    <w:rsid w:val="00C1489A"/>
    <w:rsid w:val="00C23E72"/>
    <w:rsid w:val="00C34A71"/>
    <w:rsid w:val="00C47FC1"/>
    <w:rsid w:val="00C5632E"/>
    <w:rsid w:val="00C5723D"/>
    <w:rsid w:val="00C603B3"/>
    <w:rsid w:val="00C66B57"/>
    <w:rsid w:val="00C71A9A"/>
    <w:rsid w:val="00C733EA"/>
    <w:rsid w:val="00C736D9"/>
    <w:rsid w:val="00C77327"/>
    <w:rsid w:val="00C817F2"/>
    <w:rsid w:val="00C868D8"/>
    <w:rsid w:val="00C93D4C"/>
    <w:rsid w:val="00CA521D"/>
    <w:rsid w:val="00CB040E"/>
    <w:rsid w:val="00CC6721"/>
    <w:rsid w:val="00CD5098"/>
    <w:rsid w:val="00CD5536"/>
    <w:rsid w:val="00CE10DF"/>
    <w:rsid w:val="00CE3C2A"/>
    <w:rsid w:val="00CE6C00"/>
    <w:rsid w:val="00CF07E5"/>
    <w:rsid w:val="00CF1187"/>
    <w:rsid w:val="00CF4842"/>
    <w:rsid w:val="00D108CB"/>
    <w:rsid w:val="00D12015"/>
    <w:rsid w:val="00D16977"/>
    <w:rsid w:val="00D35170"/>
    <w:rsid w:val="00D42CEC"/>
    <w:rsid w:val="00D443F8"/>
    <w:rsid w:val="00D44574"/>
    <w:rsid w:val="00D601EF"/>
    <w:rsid w:val="00D75749"/>
    <w:rsid w:val="00D83EE0"/>
    <w:rsid w:val="00D950D6"/>
    <w:rsid w:val="00DA3E65"/>
    <w:rsid w:val="00DA4B1B"/>
    <w:rsid w:val="00DB1816"/>
    <w:rsid w:val="00DC2B05"/>
    <w:rsid w:val="00DC7025"/>
    <w:rsid w:val="00DE269D"/>
    <w:rsid w:val="00DE41F6"/>
    <w:rsid w:val="00DE4308"/>
    <w:rsid w:val="00DF04A0"/>
    <w:rsid w:val="00DF3D57"/>
    <w:rsid w:val="00E151B6"/>
    <w:rsid w:val="00E160DD"/>
    <w:rsid w:val="00E22438"/>
    <w:rsid w:val="00E22CB4"/>
    <w:rsid w:val="00E22E28"/>
    <w:rsid w:val="00E3106C"/>
    <w:rsid w:val="00E34945"/>
    <w:rsid w:val="00E67A73"/>
    <w:rsid w:val="00E75696"/>
    <w:rsid w:val="00E810C0"/>
    <w:rsid w:val="00E87621"/>
    <w:rsid w:val="00E9145B"/>
    <w:rsid w:val="00E950CF"/>
    <w:rsid w:val="00EB62D4"/>
    <w:rsid w:val="00EC1C5F"/>
    <w:rsid w:val="00EC2CB2"/>
    <w:rsid w:val="00ED2DC8"/>
    <w:rsid w:val="00ED3F92"/>
    <w:rsid w:val="00ED522E"/>
    <w:rsid w:val="00EE0817"/>
    <w:rsid w:val="00EF2B54"/>
    <w:rsid w:val="00EF6D32"/>
    <w:rsid w:val="00F0082B"/>
    <w:rsid w:val="00F0441E"/>
    <w:rsid w:val="00F12B33"/>
    <w:rsid w:val="00F2135B"/>
    <w:rsid w:val="00F2227C"/>
    <w:rsid w:val="00F378B6"/>
    <w:rsid w:val="00F45DDD"/>
    <w:rsid w:val="00F80506"/>
    <w:rsid w:val="00F9075F"/>
    <w:rsid w:val="00F91DE2"/>
    <w:rsid w:val="00F936FD"/>
    <w:rsid w:val="00FA09F7"/>
    <w:rsid w:val="00FA4DEA"/>
    <w:rsid w:val="00FA5FEB"/>
    <w:rsid w:val="00FB439A"/>
    <w:rsid w:val="00FC0075"/>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0DAF1"/>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 w:type="paragraph" w:styleId="NormalWeb">
    <w:name w:val="Normal (Web)"/>
    <w:basedOn w:val="Normal"/>
    <w:uiPriority w:val="99"/>
    <w:semiHidden/>
    <w:unhideWhenUsed/>
    <w:rsid w:val="00E151B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07781DB-EED9-4359-8AD9-68137B52B701}">
  <ds:schemaRefs>
    <ds:schemaRef ds:uri="http://schemas.microsoft.com/sharepoint/v3/contenttype/forms"/>
  </ds:schemaRefs>
</ds:datastoreItem>
</file>

<file path=customXml/itemProps2.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4.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8114</TotalTime>
  <Pages>45</Pages>
  <Words>14693</Words>
  <Characters>80813</Characters>
  <Application>Microsoft Office Word</Application>
  <DocSecurity>0</DocSecurity>
  <Lines>673</Lines>
  <Paragraphs>190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194</cp:revision>
  <dcterms:created xsi:type="dcterms:W3CDTF">2026-03-23T21:09:00Z</dcterms:created>
  <dcterms:modified xsi:type="dcterms:W3CDTF">2026-08-26T21:58:00Z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