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commentRangeStart w:id="3"/>
      <w:r>
        <w:rPr>
          <w:rFonts w:ascii="Arial" w:hAnsi="Arial" w:cs="Arial"/>
          <w:color w:val="000000"/>
          <w:highlight w:val="cyan"/>
        </w:rPr>
        <w:t>Se exceptúa de su alcance al Órgano de Control Institucional, que ejerce sus funciones con autonomía funcional e independencia técnica y depende funcional y administrativamente de la Contraloría General de la República, conforme a la Ley N.° 27785.</w:t>
      </w:r>
      <w:commentRangeEnd w:id="3"/>
      <w:r w:rsidR="00F378B6" w:rsidRPr="00D16977">
        <w:rPr>
          <w:rStyle w:val="Refdecomentario"/>
          <w:rFonts w:ascii="Arial" w:eastAsia="Arial" w:hAnsi="Arial" w:cs="Arial"/>
          <w:color w:val="EE0000"/>
          <w:sz w:val="22"/>
          <w:szCs w:val="22"/>
        </w:rPr>
        <w:commentReference w:id="3"/>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4" w:name="_Toc235003963"/>
      <w:r>
        <w:rPr>
          <w:rFonts w:cs="Arial"/>
          <w:bCs/>
          <w:color w:val="000000"/>
          <w:szCs w:val="22"/>
        </w:rPr>
        <w:t>BASE NORMATIVA</w:t>
      </w:r>
      <w:bookmarkEnd w:id="4"/>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5" w:name="_Toc235003964"/>
      <w:r>
        <w:rPr>
          <w:rFonts w:cs="Arial"/>
          <w:bCs/>
          <w:color w:val="000000"/>
          <w:szCs w:val="22"/>
        </w:rPr>
        <w:lastRenderedPageBreak/>
        <w:t>GLOSARIO DE TÉRMINOS</w:t>
      </w:r>
      <w:bookmarkEnd w:id="5"/>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77777777" w:rsidR="0033689D" w:rsidRPr="00923C59" w:rsidRDefault="0033689D">
      <w:pPr>
        <w:pStyle w:val="Prrafodelista"/>
        <w:numPr>
          <w:ilvl w:val="1"/>
          <w:numId w:val="8"/>
        </w:numPr>
        <w:spacing w:after="0" w:line="276" w:lineRule="auto"/>
        <w:ind w:left="709" w:hanging="709"/>
        <w:rPr>
          <w:b w:val="0"/>
          <w:bCs w:val="0"/>
          <w:color w:val="000000"/>
        </w:rPr>
      </w:pPr>
      <w:commentRangeStart w:id="6"/>
      <w:r>
        <w:rPr>
          <w:color w:val="000000"/>
          <w:highlight w:val="cyan"/>
        </w:rPr>
        <w:t xml:space="preserve">Propietario de caso de uso: </w:t>
      </w:r>
      <w:r>
        <w:rPr>
          <w:b w:val="0"/>
          <w:bCs w:val="0"/>
          <w:color w:val="000000"/>
          <w:highlight w:val="cyan"/>
        </w:rPr>
        <w:t>Responsable de la unidad de organización que identifica la necesidad de negocio (el caso de uso) susceptible de ser atendida mediante un SBIA, y que asume la responsabilidad funcional sobre sus resultados a lo largo de todo el ciclo de vida. Es el mismo responsable funcional del SBIA que materializa el caso de uso, y se distingue del custodio técnico a cargo de su arquitectura y operación. [NTP-ISO/IEC 42001:2025, cláusula 5.3]</w:t>
      </w:r>
      <w:commentRangeEnd w:id="6"/>
      <w:r w:rsidR="00F378B6" w:rsidRPr="00923C59">
        <w:rPr>
          <w:rStyle w:val="Refdecomentario"/>
          <w:b w:val="0"/>
          <w:bCs w:val="0"/>
          <w:color w:val="000000"/>
          <w:sz w:val="22"/>
          <w:szCs w:val="22"/>
        </w:rPr>
        <w:commentReference w:id="6"/>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7" w:name="_Toc235003965"/>
      <w:r>
        <w:rPr>
          <w:rFonts w:cs="Arial"/>
          <w:bCs/>
          <w:color w:val="000000"/>
          <w:szCs w:val="22"/>
        </w:rPr>
        <w:lastRenderedPageBreak/>
        <w:t>DISPOSICIONES GENERALES</w:t>
      </w:r>
      <w:bookmarkEnd w:id="7"/>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76C8DEAF"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hAnsi="Arial" w:cs="Arial"/>
          <w:color w:val="000000"/>
          <w:highlight w:val="cyan"/>
        </w:rPr>
        <w:t>5.1.2</w:t>
      </w:r>
      <w:r>
        <w:rPr>
          <w:rFonts w:ascii="Arial" w:hAnsi="Arial" w:cs="Arial"/>
          <w:color w:val="000000"/>
          <w:highlight w:val="cyan"/>
        </w:rPr>
        <w:tab/>
        <w:t xml:space="preserve">Los derechos fundamentales de las personas son inviolables. Ante cualquier conflicto </w:t>
      </w:r>
      <w:commentRangeStart w:id="8"/>
      <w:r>
        <w:rPr>
          <w:rFonts w:ascii="Arial" w:hAnsi="Arial" w:cs="Arial"/>
          <w:color w:val="000000"/>
          <w:highlight w:val="cyan"/>
        </w:rPr>
        <w:t xml:space="preserve">entre un objetivo institucional </w:t>
      </w:r>
      <w:commentRangeEnd w:id="8"/>
      <w:r w:rsidR="00F378B6">
        <w:rPr>
          <w:rStyle w:val="Refdecomentario"/>
          <w:rFonts w:ascii="Arial" w:hAnsi="Arial" w:cs="Arial"/>
          <w:color w:val="000000"/>
          <w:sz w:val="22"/>
          <w:szCs w:val="22"/>
          <w:highlight w:val="cyan"/>
        </w:rPr>
        <w:commentReference w:id="8"/>
      </w:r>
      <w:r>
        <w:rPr>
          <w:rFonts w:ascii="Arial" w:hAnsi="Arial" w:cs="Arial"/>
          <w:color w:val="000000"/>
          <w:highlight w:val="cyan"/>
        </w:rPr>
        <w:t>y la protección de los derechos de los administrados, prevalece siempre la última.</w:t>
      </w:r>
    </w:p>
    <w:p w14:paraId="1313E70C"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Evaluar los casos de uso de SBIA propuestos por los órganos de línea (generación de valor, viabilidad técnica, legal, ética y operativa, y 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lastRenderedPageBreak/>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w:t>
            </w:r>
            <w:r>
              <w:rPr>
                <w:b w:val="0"/>
                <w:bCs w:val="0"/>
                <w:highlight w:val="yellow"/>
              </w:rPr>
              <w:lastRenderedPageBreak/>
              <w:t xml:space="preserve">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Actúa como enlace con la Autoridad Nacional de Protección de Datos </w:t>
            </w:r>
            <w:r>
              <w:rPr>
                <w:b w:val="0"/>
                <w:bCs w:val="0"/>
                <w:color w:val="000000"/>
                <w:highlight w:val="yellow"/>
              </w:rPr>
              <w:lastRenderedPageBreak/>
              <w:t>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9"/>
            <w:r>
              <w:rPr>
                <w:b w:val="0"/>
                <w:bCs w:val="0"/>
                <w:highlight w:val="yellow"/>
              </w:rPr>
              <w:t>Audita los procesos del Sistema de Gestión de Seguridad de la Información que soportan a los SBIA (GSI).</w:t>
            </w:r>
            <w:commentRangeEnd w:id="9"/>
            <w:r w:rsidR="00DE41F6">
              <w:rPr>
                <w:rStyle w:val="Refdecomentario"/>
                <w:b w:val="0"/>
                <w:bCs w:val="0"/>
                <w:sz w:val="22"/>
                <w:szCs w:val="22"/>
              </w:rPr>
              <w:commentReference w:id="9"/>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77777777" w:rsidR="00B34A74" w:rsidRPr="00923C59" w:rsidRDefault="00B34A74" w:rsidP="00904C72">
            <w:pPr>
              <w:spacing w:before="20" w:after="20" w:line="276" w:lineRule="auto"/>
              <w:rPr>
                <w:rFonts w:ascii="Arial" w:hAnsi="Arial" w:cs="Arial"/>
              </w:rPr>
            </w:pPr>
            <w:commentRangeStart w:id="10"/>
            <w:r>
              <w:rPr>
                <w:rFonts w:ascii="Arial" w:eastAsia="Arial" w:hAnsi="Arial" w:cs="Arial"/>
                <w:b/>
                <w:bCs/>
              </w:rPr>
              <w:t>Representante de Negocio</w:t>
            </w:r>
            <w:commentRangeEnd w:id="10"/>
            <w:r w:rsidR="00DE41F6" w:rsidRPr="00923C59">
              <w:rPr>
                <w:rStyle w:val="Refdecomentario"/>
                <w:rFonts w:ascii="Arial" w:hAnsi="Arial" w:cs="Arial"/>
                <w:sz w:val="22"/>
                <w:szCs w:val="22"/>
              </w:rPr>
              <w:commentReference w:id="10"/>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77777777" w:rsidR="00B34A74" w:rsidRPr="00923C59" w:rsidRDefault="00B34A74" w:rsidP="00904C72">
            <w:pPr>
              <w:spacing w:before="20" w:after="20" w:line="276" w:lineRule="auto"/>
              <w:rPr>
                <w:rFonts w:ascii="Arial" w:hAnsi="Arial" w:cs="Arial"/>
              </w:rPr>
            </w:pPr>
            <w:r>
              <w:rPr>
                <w:rFonts w:ascii="Arial" w:eastAsia="Arial" w:hAnsi="Arial" w:cs="Arial"/>
              </w:rPr>
              <w:t>Superintendencias Nacionales Adjuntas</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218E6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Aporta la visión de negocio a la Comisión de Gobierno de IA.</w:t>
            </w:r>
          </w:p>
          <w:p w14:paraId="14613D4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Identifica y prioriza las iniciativas de negocio susceptibles de generar valor mediante SBIA.</w:t>
            </w:r>
          </w:p>
          <w:p w14:paraId="71793657"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Participa en la evaluación de los casos de uso desde la perspectiva de negocio.</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11" w:name="_Toc235003966"/>
      <w:r>
        <w:rPr>
          <w:rFonts w:cs="Arial"/>
          <w:bCs/>
          <w:color w:val="000000"/>
          <w:szCs w:val="22"/>
        </w:rPr>
        <w:t>DISPOSICIONES ESPECÍFICAS</w:t>
      </w:r>
      <w:bookmarkEnd w:id="11"/>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Comisión de Gobierno de IA coordina la evaluación técnica, legal, ética y operativa de la iniciativa y propone la clasificación </w:t>
            </w:r>
            <w:r>
              <w:rPr>
                <w:rFonts w:ascii="Arial" w:eastAsia="Arial" w:hAnsi="Arial" w:cs="Arial"/>
                <w:highlight w:val="yellow"/>
              </w:rPr>
              <w:lastRenderedPageBreak/>
              <w:t>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de la clasificación de riesgo y de la viabilidad de la </w:t>
            </w:r>
            <w:r>
              <w:rPr>
                <w:rFonts w:ascii="Arial" w:eastAsia="Arial" w:hAnsi="Arial" w:cs="Arial"/>
                <w:highlight w:val="yellow"/>
              </w:rPr>
              <w:lastRenderedPageBreak/>
              <w:t>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77777777" w:rsidR="00E67A73" w:rsidRDefault="00000000">
      <w:pPr>
        <w:spacing w:after="60" w:line="276" w:lineRule="auto"/>
        <w:ind w:left="1276" w:hanging="720"/>
        <w:jc w:val="both"/>
        <w:rPr>
          <w:rFonts w:ascii="Arial" w:eastAsia="Arial" w:hAnsi="Arial" w:cs="Arial"/>
          <w:color w:val="000000"/>
        </w:rPr>
      </w:pPr>
      <w:commentRangeStart w:id="12"/>
      <w:r>
        <w:rPr>
          <w:rFonts w:ascii="Arial" w:hAnsi="Arial" w:cs="Arial"/>
          <w:color w:val="000000"/>
          <w:highlight w:val="cyan"/>
        </w:rPr>
        <w:t>6.1.5</w:t>
      </w:r>
      <w:r>
        <w:rPr>
          <w:rFonts w:ascii="Arial" w:hAnsi="Arial" w:cs="Arial"/>
          <w:color w:val="000000"/>
          <w:highlight w:val="cyan"/>
        </w:rPr>
        <w:tab/>
        <w:t xml:space="preserve">La INSI aprueba, con opinión favorable del CGTD, la metodología del ciclo de vida del SBIA previsto en el numeral 6.1.1, conforme a sus competencias y a la METDONI. La metodología comprende, como mínimo: el desarrollo y la </w:t>
      </w:r>
      <w:r>
        <w:rPr>
          <w:rFonts w:ascii="Arial" w:hAnsi="Arial" w:cs="Arial"/>
          <w:color w:val="000000"/>
          <w:highlight w:val="cyan"/>
        </w:rPr>
        <w:lastRenderedPageBreak/>
        <w:t>aplicación de la clasificación de riesgo (Anexo N.° 2) y de la evaluación de impacto algorítmico (Anexo N.° 3), los criterios técnicos de diseño de la arquitectura de los SBIA, el contenido de los entregables de cada etapa, los tipos y las técnicas de prueba aplicables según el nivel de riesgo, los controles de contención, las prácticas de monitoreo y las condiciones de retiro. En tanto no se apruebe, los SBIA siguen el ciclo de vida del numeral 6.1.1 y la normativa de desarrollo de sistemas vigente en la SUNAT.</w:t>
      </w:r>
      <w:commentRangeEnd w:id="12"/>
      <w:r w:rsidR="00C66B57">
        <w:rPr>
          <w:rStyle w:val="Refdecomentario"/>
          <w:rFonts w:ascii="Arial" w:eastAsia="Arial" w:hAnsi="Arial" w:cs="Arial"/>
          <w:color w:val="000000"/>
          <w:sz w:val="22"/>
          <w:szCs w:val="22"/>
        </w:rPr>
        <w:commentReference w:id="12"/>
      </w:r>
    </w:p>
    <w:p w14:paraId="19B01FCF" w14:textId="77777777" w:rsidR="00F91DE2" w:rsidRDefault="00000000">
      <w:pPr>
        <w:spacing w:after="60" w:line="276" w:lineRule="auto"/>
        <w:ind w:left="1276" w:hanging="720"/>
        <w:jc w:val="both"/>
        <w:rPr>
          <w:rFonts w:ascii="Arial" w:hAnsi="Arial" w:cs="Arial"/>
          <w:color w:val="000000"/>
        </w:rPr>
      </w:pPr>
      <w:r>
        <w:rPr>
          <w:rFonts w:ascii="Arial" w:eastAsia="Arial" w:hAnsi="Arial" w:cs="Arial"/>
          <w:color w:val="000000"/>
          <w:highlight w:val="cyan"/>
        </w:rPr>
        <w:t>6.1.6</w:t>
      </w:r>
      <w:r>
        <w:rPr>
          <w:rFonts w:ascii="Arial" w:eastAsia="Arial" w:hAnsi="Arial" w:cs="Arial"/>
          <w:color w:val="000000"/>
          <w:highlight w:val="cyan"/>
        </w:rPr>
        <w:tab/>
      </w:r>
      <w:commentRangeStart w:id="13"/>
      <w:r>
        <w:rPr>
          <w:rFonts w:ascii="Arial" w:eastAsia="Arial" w:hAnsi="Arial" w:cs="Arial"/>
          <w:color w:val="000000"/>
          <w:highlight w:val="cyan"/>
        </w:rPr>
        <w:t>Cuando en la formulación del Caso de Negocio de un programa o proyecto institucional, conforme al Modelo de Gobernabilidad de Programas y Proyectos (MGPP), se identifiquen componentes basados en IA, el propietario del caso de uso presenta la Ficha de Evaluación de Caso de Uso (Anexo N.° 4) a la Comisión de Gobierno de IA antes de continuar, para la evaluación del o de los componentes de IA.</w:t>
      </w:r>
      <w:commentRangeEnd w:id="13"/>
      <w:r w:rsidR="00D44574">
        <w:rPr>
          <w:rStyle w:val="Refdecomentario"/>
          <w:rFonts w:ascii="Arial" w:hAnsi="Arial" w:cs="Arial"/>
          <w:color w:val="000000"/>
          <w:sz w:val="22"/>
          <w:szCs w:val="22"/>
        </w:rPr>
        <w:commentReference w:id="13"/>
      </w:r>
    </w:p>
    <w:p w14:paraId="14C10186" w14:textId="77777777" w:rsidR="00F91DE2" w:rsidRDefault="00000000">
      <w:pPr>
        <w:spacing w:after="60" w:line="276" w:lineRule="auto"/>
        <w:ind w:left="1276" w:hanging="720"/>
        <w:jc w:val="both"/>
        <w:rPr>
          <w:rFonts w:ascii="Arial" w:hAnsi="Arial" w:cs="Arial"/>
          <w:color w:val="000000"/>
        </w:rPr>
      </w:pPr>
      <w:r>
        <w:rPr>
          <w:rFonts w:ascii="Arial" w:eastAsia="Arial" w:hAnsi="Arial" w:cs="Arial"/>
          <w:color w:val="000000"/>
          <w:highlight w:val="cyan"/>
        </w:rPr>
        <w:t>6.1.7</w:t>
      </w:r>
      <w:r>
        <w:rPr>
          <w:rFonts w:ascii="Arial" w:eastAsia="Arial" w:hAnsi="Arial" w:cs="Arial"/>
          <w:color w:val="000000"/>
          <w:highlight w:val="cyan"/>
        </w:rPr>
        <w:tab/>
        <w:t xml:space="preserve">Cuando una necesidad canalizada a través de la gestión de la demanda informática, conforme al Lineamiento Temporal para la Gestión de la Demanda Informática vigente, comprenda componentes basados en IA, el propietario del caso de uso presenta la </w:t>
      </w:r>
      <w:commentRangeStart w:id="14"/>
      <w:r>
        <w:rPr>
          <w:rFonts w:ascii="Arial" w:eastAsia="Arial" w:hAnsi="Arial" w:cs="Arial"/>
          <w:color w:val="000000"/>
          <w:highlight w:val="cyan"/>
        </w:rPr>
        <w:t xml:space="preserve">Ficha de Evaluación de Caso de Uso (Anexo N.° 4) </w:t>
      </w:r>
      <w:commentRangeEnd w:id="14"/>
      <w:r w:rsidR="00C5632E">
        <w:rPr>
          <w:rStyle w:val="Refdecomentario"/>
          <w:rFonts w:ascii="Arial" w:eastAsia="Arial" w:hAnsi="Arial" w:cs="Arial"/>
          <w:color w:val="000000"/>
          <w:sz w:val="22"/>
          <w:szCs w:val="22"/>
          <w:highlight w:val="cyan"/>
        </w:rPr>
        <w:commentReference w:id="14"/>
      </w:r>
      <w:r>
        <w:rPr>
          <w:rFonts w:ascii="Arial" w:eastAsia="Arial" w:hAnsi="Arial" w:cs="Arial"/>
          <w:color w:val="000000"/>
          <w:highlight w:val="cyan"/>
        </w:rPr>
        <w:t>a la Comisión de Gobierno de IA antes de continuar con su atención, para la evaluación del o de los componentes de IA.</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50AD7B0A"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w:t>
      </w:r>
      <w:r w:rsidRPr="005C3A70">
        <w:rPr>
          <w:rFonts w:ascii="Arial" w:eastAsia="Arial" w:hAnsi="Arial" w:cs="Arial"/>
          <w:color w:val="000000"/>
          <w:highlight w:val="lightGray"/>
        </w:rPr>
        <w:lastRenderedPageBreak/>
        <w:t xml:space="preserve">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w:t>
      </w:r>
      <w:r>
        <w:rPr>
          <w:rFonts w:ascii="Arial" w:eastAsia="Arial" w:hAnsi="Arial" w:cs="Arial"/>
          <w:color w:val="000000"/>
          <w:highlight w:val="cyan"/>
        </w:rPr>
        <w:lastRenderedPageBreak/>
        <w:t>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w:t>
      </w:r>
      <w:r w:rsidRPr="005C3A70">
        <w:rPr>
          <w:rFonts w:ascii="Arial" w:eastAsia="Arial" w:hAnsi="Arial" w:cs="Arial"/>
          <w:color w:val="000000"/>
          <w:highlight w:val="lightGray"/>
        </w:rPr>
        <w:lastRenderedPageBreak/>
        <w:t>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lastRenderedPageBreak/>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lastRenderedPageBreak/>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lastRenderedPageBreak/>
        <w:t>La protección de la reserva tributaria, secreto comercial y demás obligaciones de confidencialidad aplicables.</w:t>
      </w:r>
    </w:p>
    <w:p w14:paraId="24701C8F" w14:textId="251548E5"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lastRenderedPageBreak/>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326739" w:rsidRDefault="00326739" w:rsidP="00326739">
      <w:pPr>
        <w:pStyle w:val="SubtituloDONI"/>
        <w:spacing w:line="276" w:lineRule="auto"/>
        <w:ind w:left="851"/>
        <w:rPr>
          <w:color w:val="000000"/>
          <w:highlight w:val="lightGray"/>
        </w:rPr>
      </w:pPr>
      <w:r w:rsidRPr="00326739">
        <w:rPr>
          <w:highlight w:val="lightGray"/>
        </w:rPr>
        <w:t>6.15 De la articulación con la formulación de iniciativas, proyectos e inversiones</w:t>
      </w:r>
    </w:p>
    <w:p w14:paraId="0BD19C27" w14:textId="61BE8FE3"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2FDDB7BC" w:rsidR="000153F0" w:rsidRDefault="00326739" w:rsidP="00326739">
      <w:pPr>
        <w:tabs>
          <w:tab w:val="left" w:pos="1276"/>
        </w:tabs>
        <w:spacing w:after="60" w:line="276" w:lineRule="auto"/>
        <w:ind w:left="1276" w:hanging="709"/>
        <w:jc w:val="both"/>
        <w:rPr>
          <w:rFonts w:ascii="Arial" w:eastAsia="Arial" w:hAnsi="Arial" w:cs="Arial"/>
          <w:color w:val="000000"/>
          <w:highlight w:val="yellow"/>
        </w:rPr>
      </w:pPr>
      <w:r w:rsidRPr="00326739">
        <w:rPr>
          <w:highlight w:val="lightGray"/>
        </w:rPr>
        <w:lastRenderedPageBreak/>
        <w:t>6.15.5 Las unidades competentes de cada instrumento incorporan en sus metodologías o procedimientos la verificación del componente de IA y la opinión de la Comisión, según sus competencias y sin afectar los sistemas administrativos del Estado, conforme al numeral 7.6</w:t>
      </w:r>
      <w:r>
        <w:br w:type="page"/>
      </w:r>
    </w:p>
    <w:p w14:paraId="66FD7798" w14:textId="77777777" w:rsidR="00863A18" w:rsidRPr="00923C59" w:rsidRDefault="00863A18" w:rsidP="00B23382">
      <w:pPr>
        <w:pStyle w:val="Ttulo1"/>
        <w:spacing w:line="276" w:lineRule="auto"/>
        <w:rPr>
          <w:rFonts w:cs="Arial"/>
          <w:szCs w:val="22"/>
        </w:rPr>
      </w:pPr>
      <w:bookmarkStart w:id="15" w:name="_Toc235003967"/>
      <w:r>
        <w:rPr>
          <w:rFonts w:cs="Arial"/>
          <w:bCs/>
          <w:color w:val="000000"/>
          <w:szCs w:val="22"/>
        </w:rPr>
        <w:lastRenderedPageBreak/>
        <w:t>DISPOSICIONES FINALES</w:t>
      </w:r>
      <w:bookmarkEnd w:id="15"/>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77777777"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Los encargos son los previstos en las disposiciones específicas de la presente directiva; su plazo se establece mediante acuerdo del Comité de Gobierno y Transformación Digital. 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77777777" w:rsidR="0018147B" w:rsidRDefault="00000000">
      <w:pPr>
        <w:pStyle w:val="SubtituloDONI"/>
        <w:spacing w:line="276" w:lineRule="auto"/>
        <w:ind w:left="851"/>
        <w:rPr>
          <w:b w:val="0"/>
          <w:bCs w:val="0"/>
        </w:rPr>
      </w:pPr>
      <w:r>
        <w:rPr>
          <w:b w:val="0"/>
          <w:bCs w:val="0"/>
          <w:highlight w:val="yellow"/>
        </w:rPr>
        <w:t>7.9</w:t>
      </w:r>
      <w:r>
        <w:rPr>
          <w:b w:val="0"/>
          <w:bCs w:val="0"/>
          <w:highlight w:val="yellow"/>
        </w:rPr>
        <w:tab/>
        <w:t>Los Anexos, los indicadores y las fichas de la presente directiva se actualizan mediante acto administrativo del CGTD, sin requerir la modificación de la directiva, conforme a los numerales 6.10.2, 7.5 y 7.7.</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lastRenderedPageBreak/>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16" w:name="_Toc235003968"/>
      <w:r>
        <w:rPr>
          <w:rFonts w:cs="Arial"/>
          <w:bCs/>
          <w:color w:val="000000"/>
          <w:szCs w:val="22"/>
        </w:rPr>
        <w:t>ANEXOS</w:t>
      </w:r>
      <w:bookmarkEnd w:id="16"/>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4: Ficha de Evaluación de Caso de Uso de SBIA</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Kut Castro Mario Fernando" w:date="2026-07-21T11:12:00Z" w:initials="MK">
    <w:p w14:paraId="2B7A375D" w14:textId="77777777" w:rsidR="00F378B6" w:rsidRDefault="00F378B6" w:rsidP="00F378B6">
      <w:pPr>
        <w:pStyle w:val="Textocomentario"/>
      </w:pPr>
      <w:r>
        <w:rPr>
          <w:rStyle w:val="Refdecomentario"/>
        </w:rPr>
        <w:annotationRef/>
      </w:r>
      <w:r>
        <w:t>Confirmar con INALI.</w:t>
      </w:r>
    </w:p>
  </w:comment>
  <w:comment w:id="6" w:author="Kut Castro Mario Fernando" w:date="2026-07-21T11:14:00Z" w:initials="MK">
    <w:p w14:paraId="1304144C" w14:textId="77777777" w:rsidR="00F378B6" w:rsidRDefault="00F378B6" w:rsidP="00F378B6">
      <w:pPr>
        <w:pStyle w:val="Textocomentario"/>
      </w:pPr>
      <w:r>
        <w:rPr>
          <w:rStyle w:val="Refdecomentario"/>
        </w:rPr>
        <w:annotationRef/>
      </w:r>
      <w:r>
        <w:t>Alinearlo de acuerdo al ROF referente a la competencia de formular iniciativas de SBIA, (unidades normativas de negocio y las unidades administrativas, TI), revisar competencias.</w:t>
      </w:r>
    </w:p>
  </w:comment>
  <w:comment w:id="8" w:author="Kut Castro Mario Fernando" w:date="2026-07-21T11:18:00Z" w:initials="MK">
    <w:p w14:paraId="33AB0D5A" w14:textId="77777777" w:rsidR="00F378B6" w:rsidRDefault="00F378B6" w:rsidP="00F378B6">
      <w:pPr>
        <w:pStyle w:val="Textocomentario"/>
      </w:pPr>
      <w:r>
        <w:rPr>
          <w:rStyle w:val="Refdecomentario"/>
        </w:rPr>
        <w:annotationRef/>
      </w:r>
      <w:r>
        <w:t>Formularlo de otra forma.</w:t>
      </w:r>
    </w:p>
  </w:comment>
  <w:comment w:id="9"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 w:id="10" w:author="Kut Castro Mario Fernando" w:date="2026-07-21T11:27:00Z" w:initials="MK">
    <w:p w14:paraId="2EB03F52" w14:textId="77777777" w:rsidR="00DE41F6" w:rsidRDefault="00DE41F6" w:rsidP="00DE41F6">
      <w:pPr>
        <w:pStyle w:val="Textocomentario"/>
      </w:pPr>
      <w:r>
        <w:rPr>
          <w:rStyle w:val="Refdecomentario"/>
        </w:rPr>
        <w:annotationRef/>
      </w:r>
      <w:r>
        <w:t>Representantes INGP, INER, INDIA, (Para revisión del ROF), a evaluar.</w:t>
      </w:r>
    </w:p>
  </w:comment>
  <w:comment w:id="12" w:author="Kut Castro Mario Fernando" w:date="2026-07-21T11:40:00Z" w:initials="MK">
    <w:p w14:paraId="7A362A96" w14:textId="77777777" w:rsidR="00C66B57" w:rsidRDefault="00C66B57" w:rsidP="00C66B57">
      <w:pPr>
        <w:pStyle w:val="Textocomentario"/>
      </w:pPr>
      <w:r>
        <w:rPr>
          <w:rStyle w:val="Refdecomentario"/>
        </w:rPr>
        <w:annotationRef/>
      </w:r>
      <w:r>
        <w:t>Analizar bajo METDONI.</w:t>
      </w:r>
    </w:p>
  </w:comment>
  <w:comment w:id="13" w:author="Kut Castro Mario Fernando" w:date="2026-07-21T11:47:00Z" w:initials="MK">
    <w:p w14:paraId="32D4CC42" w14:textId="77777777" w:rsidR="00D44574" w:rsidRDefault="00D44574" w:rsidP="00D44574">
      <w:pPr>
        <w:pStyle w:val="Textocomentario"/>
      </w:pPr>
      <w:r>
        <w:rPr>
          <w:rStyle w:val="Refdecomentario"/>
        </w:rPr>
        <w:annotationRef/>
      </w:r>
      <w:r>
        <w:t>Revisión del equipo.</w:t>
      </w:r>
    </w:p>
  </w:comment>
  <w:comment w:id="14" w:author="Kut Castro Mario Fernando" w:date="2026-07-21T12:00:00Z" w:initials="MK">
    <w:p w14:paraId="152D4D06" w14:textId="77777777" w:rsidR="00C5632E" w:rsidRDefault="00C5632E" w:rsidP="00C5632E">
      <w:pPr>
        <w:pStyle w:val="Textocomentario"/>
      </w:pPr>
      <w:r>
        <w:rPr>
          <w:rStyle w:val="Refdecomentario"/>
        </w:rPr>
        <w:annotationRef/>
      </w:r>
      <w:r>
        <w:t>Evaluar matiz para este tipo de requerimiento.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7A375D" w15:done="0"/>
  <w15:commentEx w15:paraId="1304144C" w15:done="0"/>
  <w15:commentEx w15:paraId="33AB0D5A" w15:done="0"/>
  <w15:commentEx w15:paraId="3C0FED1C" w15:done="0"/>
  <w15:commentEx w15:paraId="2EB03F52" w15:done="0"/>
  <w15:commentEx w15:paraId="7A362A96" w15:done="0"/>
  <w15:commentEx w15:paraId="32D4CC42" w15:done="0"/>
  <w15:commentEx w15:paraId="152D4D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A6C15E" w16cex:dateUtc="2026-07-21T16:12:00Z"/>
  <w16cex:commentExtensible w16cex:durableId="74BA2796" w16cex:dateUtc="2026-07-21T16:14:00Z"/>
  <w16cex:commentExtensible w16cex:durableId="67902DDB" w16cex:dateUtc="2026-07-21T16:18:00Z"/>
  <w16cex:commentExtensible w16cex:durableId="6387E4DA" w16cex:dateUtc="2026-07-21T16:30:00Z"/>
  <w16cex:commentExtensible w16cex:durableId="2C51B84E" w16cex:dateUtc="2026-07-21T16:27:00Z"/>
  <w16cex:commentExtensible w16cex:durableId="29EDEAD0" w16cex:dateUtc="2026-07-21T16:40:00Z"/>
  <w16cex:commentExtensible w16cex:durableId="472286C5" w16cex:dateUtc="2026-07-21T16:47:00Z"/>
  <w16cex:commentExtensible w16cex:durableId="0734D94E" w16cex:dateUtc="2026-07-21T17: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7A375D" w16cid:durableId="27A6C15E"/>
  <w16cid:commentId w16cid:paraId="1304144C" w16cid:durableId="74BA2796"/>
  <w16cid:commentId w16cid:paraId="33AB0D5A" w16cid:durableId="67902DDB"/>
  <w16cid:commentId w16cid:paraId="3C0FED1C" w16cid:durableId="6387E4DA"/>
  <w16cid:commentId w16cid:paraId="2EB03F52" w16cid:durableId="2C51B84E"/>
  <w16cid:commentId w16cid:paraId="7A362A96" w16cid:durableId="29EDEAD0"/>
  <w16cid:commentId w16cid:paraId="32D4CC42" w16cid:durableId="472286C5"/>
  <w16cid:commentId w16cid:paraId="152D4D06" w16cid:durableId="0734D9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EDACA" w14:textId="77777777" w:rsidR="00D71672" w:rsidRDefault="00D71672">
      <w:pPr>
        <w:spacing w:after="0" w:line="240" w:lineRule="auto"/>
      </w:pPr>
      <w:r>
        <w:separator/>
      </w:r>
    </w:p>
  </w:endnote>
  <w:endnote w:type="continuationSeparator" w:id="0">
    <w:p w14:paraId="3FEFF1D8" w14:textId="77777777" w:rsidR="00D71672" w:rsidRDefault="00D716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6F819" w14:textId="77777777" w:rsidR="00D71672" w:rsidRDefault="00D71672">
      <w:pPr>
        <w:spacing w:after="0" w:line="240" w:lineRule="auto"/>
      </w:pPr>
      <w:r>
        <w:separator/>
      </w:r>
    </w:p>
  </w:footnote>
  <w:footnote w:type="continuationSeparator" w:id="0">
    <w:p w14:paraId="3223C440" w14:textId="77777777" w:rsidR="00D71672" w:rsidRDefault="00D71672">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5"/>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8147B"/>
    <w:rsid w:val="0018222F"/>
    <w:rsid w:val="001B791A"/>
    <w:rsid w:val="001C5C4D"/>
    <w:rsid w:val="001D0B85"/>
    <w:rsid w:val="001F16B0"/>
    <w:rsid w:val="002102ED"/>
    <w:rsid w:val="00215BA9"/>
    <w:rsid w:val="002222E3"/>
    <w:rsid w:val="00272134"/>
    <w:rsid w:val="002950F6"/>
    <w:rsid w:val="002A5658"/>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C3A70"/>
    <w:rsid w:val="005C4042"/>
    <w:rsid w:val="005C67EA"/>
    <w:rsid w:val="005D5880"/>
    <w:rsid w:val="005D754C"/>
    <w:rsid w:val="005F24C2"/>
    <w:rsid w:val="0060099A"/>
    <w:rsid w:val="00603B7D"/>
    <w:rsid w:val="0065257C"/>
    <w:rsid w:val="00662A54"/>
    <w:rsid w:val="006653DD"/>
    <w:rsid w:val="00665F3F"/>
    <w:rsid w:val="00677324"/>
    <w:rsid w:val="006806C8"/>
    <w:rsid w:val="00682244"/>
    <w:rsid w:val="00691FB4"/>
    <w:rsid w:val="00697B72"/>
    <w:rsid w:val="006B3AF5"/>
    <w:rsid w:val="006B4241"/>
    <w:rsid w:val="00714044"/>
    <w:rsid w:val="007324DC"/>
    <w:rsid w:val="0075082A"/>
    <w:rsid w:val="00771AB8"/>
    <w:rsid w:val="007808CA"/>
    <w:rsid w:val="007C4F40"/>
    <w:rsid w:val="007D181A"/>
    <w:rsid w:val="0080359D"/>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34A74"/>
    <w:rsid w:val="00B46315"/>
    <w:rsid w:val="00B474EF"/>
    <w:rsid w:val="00B629FD"/>
    <w:rsid w:val="00B63942"/>
    <w:rsid w:val="00B71027"/>
    <w:rsid w:val="00B72BA5"/>
    <w:rsid w:val="00B72DD0"/>
    <w:rsid w:val="00B852DB"/>
    <w:rsid w:val="00B87F34"/>
    <w:rsid w:val="00B9744D"/>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35170"/>
    <w:rsid w:val="00D42CEC"/>
    <w:rsid w:val="00D44574"/>
    <w:rsid w:val="00D601EF"/>
    <w:rsid w:val="00D71672"/>
    <w:rsid w:val="00D75749"/>
    <w:rsid w:val="00D83EE0"/>
    <w:rsid w:val="00DA3E65"/>
    <w:rsid w:val="00DA4B1B"/>
    <w:rsid w:val="00DC2B05"/>
    <w:rsid w:val="00DC7025"/>
    <w:rsid w:val="00DE269D"/>
    <w:rsid w:val="00DE41F6"/>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4558</TotalTime>
  <Pages>35</Pages>
  <Words>10820</Words>
  <Characters>59515</Characters>
  <Application>Microsoft Office Word</Application>
  <DocSecurity>0</DocSecurity>
  <Lines>495</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122</cp:revision>
  <dcterms:created xsi:type="dcterms:W3CDTF">2026-03-23T21:09:00Z</dcterms:created>
  <dcterms:modified xsi:type="dcterms:W3CDTF">2026-07-29T01:33:00Z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