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r w:rsidR="00DF04A0" w:rsidRPr="00DF04A0">
        <w:rPr>
          <w:rFonts w:ascii="Arial" w:hAnsi="Arial" w:cs="Arial"/>
          <w:color w:val="000000"/>
          <w:highlight w:val="lightGray"/>
        </w:rPr>
        <w:t>.</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w:t>
      </w:r>
      <w:r w:rsidR="00025734" w:rsidRPr="00025734">
        <w:rPr>
          <w:rFonts w:ascii="Arial" w:hAnsi="Arial" w:cs="Arial"/>
          <w:color w:val="000000"/>
          <w:highlight w:val="lightGray"/>
        </w:rPr>
        <w:t xml:space="preserve">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 xml:space="preserve">Evaluar los casos de uso de SBIA propuestos por los órganos de línea (generación de valor, viabilidad técnica, legal, ética y operativa, y </w:t>
      </w:r>
      <w:r>
        <w:rPr>
          <w:b w:val="0"/>
          <w:bCs w:val="0"/>
          <w:color w:val="000000"/>
        </w:rPr>
        <w:lastRenderedPageBreak/>
        <w:t>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lastRenderedPageBreak/>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tratamiento de datos personales: asegura el tratamiento adecuado de los datos personales en el desarrollo, implementación y </w:t>
            </w:r>
            <w:r>
              <w:rPr>
                <w:b w:val="0"/>
                <w:bCs w:val="0"/>
                <w:color w:val="000000"/>
                <w:highlight w:val="yellow"/>
              </w:rPr>
              <w:lastRenderedPageBreak/>
              <w:t>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lastRenderedPageBreak/>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6"/>
            <w:r>
              <w:rPr>
                <w:b w:val="0"/>
                <w:bCs w:val="0"/>
                <w:highlight w:val="yellow"/>
              </w:rPr>
              <w:t>Audita los procesos del Sistema de Gestión de Seguridad de la Información que soportan a los SBIA (GSI).</w:t>
            </w:r>
            <w:commentRangeEnd w:id="6"/>
            <w:r w:rsidR="00DE41F6">
              <w:rPr>
                <w:rStyle w:val="Refdecomentario"/>
                <w:b w:val="0"/>
                <w:bCs w:val="0"/>
                <w:sz w:val="22"/>
                <w:szCs w:val="22"/>
              </w:rPr>
              <w:commentReference w:id="6"/>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En materia de negocio: aporta a la Comisión de Gobierno de IA la visión del</w:t>
            </w:r>
            <w:r w:rsidRPr="005B30EE">
              <w:rPr>
                <w:b w:val="0"/>
                <w:bCs w:val="0"/>
                <w:highlight w:val="lightGray"/>
              </w:rPr>
              <w:t xml:space="preserve"> </w:t>
            </w:r>
            <w:r w:rsidRPr="005B30EE">
              <w:rPr>
                <w:b w:val="0"/>
                <w:bCs w:val="0"/>
                <w:highlight w:val="lightGray"/>
              </w:rPr>
              <w:t xml:space="preserve">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lastRenderedPageBreak/>
              <w:t>Contribuye a la</w:t>
            </w:r>
            <w:r w:rsidRPr="005B30EE">
              <w:rPr>
                <w:b w:val="0"/>
                <w:bCs w:val="0"/>
                <w:highlight w:val="lightGray"/>
              </w:rPr>
              <w:t xml:space="preserve"> </w:t>
            </w:r>
            <w:r w:rsidRPr="005B30EE">
              <w:rPr>
                <w:b w:val="0"/>
                <w:bCs w:val="0"/>
                <w:highlight w:val="lightGray"/>
              </w:rPr>
              <w:t>evaluación del componente de IA con el conocimiento operativo de los procesos</w:t>
            </w:r>
            <w:r w:rsidRPr="005B30EE">
              <w:rPr>
                <w:b w:val="0"/>
                <w:bCs w:val="0"/>
                <w:highlight w:val="lightGray"/>
              </w:rPr>
              <w:t xml:space="preserve"> </w:t>
            </w:r>
            <w:r w:rsidRPr="005B30EE">
              <w:rPr>
                <w:b w:val="0"/>
                <w:bCs w:val="0"/>
                <w:highlight w:val="lightGray"/>
              </w:rPr>
              <w:t xml:space="preserve">de dicho ámbito y de su impacto en los administrados. Su participación </w:t>
            </w:r>
            <w:r w:rsidRPr="005B30EE">
              <w:rPr>
                <w:b w:val="0"/>
                <w:bCs w:val="0"/>
                <w:highlight w:val="lightGray"/>
              </w:rPr>
              <w:t>es permanente</w:t>
            </w:r>
            <w:r w:rsidRPr="005B30EE">
              <w:rPr>
                <w:b w:val="0"/>
                <w:bCs w:val="0"/>
                <w:highlight w:val="lightGray"/>
              </w:rPr>
              <w:t xml:space="preserve"> y no sustituye la del propietario del caso de uso, a quien la Comisión</w:t>
            </w:r>
            <w:r w:rsidRPr="005B30EE">
              <w:rPr>
                <w:b w:val="0"/>
                <w:bCs w:val="0"/>
                <w:highlight w:val="lightGray"/>
              </w:rPr>
              <w:t xml:space="preserve"> </w:t>
            </w:r>
            <w:r w:rsidRPr="005B30EE">
              <w:rPr>
                <w:b w:val="0"/>
                <w:bCs w:val="0"/>
                <w:highlight w:val="lightGray"/>
              </w:rPr>
              <w:t>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7" w:name="_Toc235003966"/>
      <w:r>
        <w:rPr>
          <w:rFonts w:cs="Arial"/>
          <w:bCs/>
          <w:color w:val="000000"/>
          <w:szCs w:val="22"/>
        </w:rPr>
        <w:t>DISPOSICIONES ESPECÍFICAS</w:t>
      </w:r>
      <w:bookmarkEnd w:id="7"/>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coordina la evaluación técnica, legal, ética y operativa de la iniciativa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t>Aprobación de la clasificación de riesgo y de la viabilidad de la 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 xml:space="preserve">La Gerencia de Calidad de Sistemas conduce las pruebas de verificación y validación de calidad, y la Oficina de Seguridad Informática efectúa el análisis de riesgo y las pruebas de vulnerabilidad, incluido el red teaming </w:t>
            </w:r>
            <w:r>
              <w:rPr>
                <w:rFonts w:ascii="Arial" w:eastAsia="Arial" w:hAnsi="Arial" w:cs="Arial"/>
                <w:highlight w:val="yellow"/>
              </w:rPr>
              <w:lastRenderedPageBreak/>
              <w:t>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lastRenderedPageBreak/>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En la evaluación de la generación de valor, el beneficio puede sustentarse a nivel de un conjunto o programa de SBIA cuando la iniciativa forme parte de un portafolio, e incluir beneficios cualitativos y de control de procesos además de los cuantitativos.</w:t>
      </w:r>
    </w:p>
    <w:p w14:paraId="68622EF3" w14:textId="4C185B95" w:rsidR="00E67A73" w:rsidRDefault="00000000" w:rsidP="00166F8B">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Por comprender actuaciones a cargo de unidades de organización distintas de la INSI, su formulación recoge los aportes de dichas unidades y su aprobación</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técnicos de diseño de la arquitectura de los SBIA, el contenido de los entregables de cada etapa, los tipos y las técnicas de prueba aplicables según</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el nivel de riesgo, los controles de contención, las prácticas de monitoreo y las condiciones de retiro. En tanto no se apruebe, los SBIA siguen el ciclo de</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vida del numeral 6.1.1 y la normativa de desarrollo de sistemas vigente en la SUNAT</w:t>
      </w:r>
      <w:r w:rsidR="00166F8B" w:rsidRPr="00166F8B">
        <w:rPr>
          <w:rFonts w:ascii="Arial" w:hAnsi="Arial" w:cs="Arial"/>
          <w:color w:val="000000"/>
          <w:highlight w:val="lightGray"/>
        </w:rPr>
        <w:t>.</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w:t>
      </w:r>
      <w:r>
        <w:rPr>
          <w:rFonts w:ascii="Arial" w:eastAsia="Arial" w:hAnsi="Arial" w:cs="Arial"/>
          <w:color w:val="000000"/>
          <w:highlight w:val="yellow"/>
        </w:rPr>
        <w:lastRenderedPageBreak/>
        <w:t xml:space="preserve">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 xml:space="preserve">Cuando la EIA detecte riesgos que afecten los derechos fundamentales o puedan generar decisiones automatizadas erróneas, el propietario del caso de uso y el equipo técnico del SBIA adoptan las medidas necesarias para mitigar </w:t>
      </w:r>
      <w:r>
        <w:rPr>
          <w:rFonts w:ascii="Arial" w:eastAsia="Arial" w:hAnsi="Arial" w:cs="Arial"/>
          <w:color w:val="000000"/>
          <w:highlight w:val="yellow"/>
        </w:rPr>
        <w:lastRenderedPageBreak/>
        <w:t>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7898CA60"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modelos, conjuntos de datos, componentes generativos y </w:t>
      </w:r>
      <w:r w:rsidRPr="005C3A70">
        <w:rPr>
          <w:rFonts w:ascii="Arial" w:eastAsia="Arial" w:hAnsi="Arial" w:cs="Arial"/>
          <w:color w:val="000000"/>
          <w:highlight w:val="lightGray"/>
        </w:rPr>
        <w:t>agenticos</w:t>
      </w:r>
      <w:r w:rsidRPr="005C3A70">
        <w:rPr>
          <w:rFonts w:ascii="Arial" w:eastAsia="Arial" w:hAnsi="Arial" w:cs="Arial"/>
          <w:color w:val="000000"/>
          <w:highlight w:val="lightGray"/>
        </w:rPr>
        <w:t>, e infraestructura especializada</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6.5.4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La publicación del código fuente de los SBIA financiados con fondos públicos, con licencia libre o abierta en la Plataforma Nacional de Software Público Peruano (PNSSP), se sujeta a la determinación previa de su publicabilidad. </w:t>
      </w:r>
      <w:r w:rsidRPr="005C3A70">
        <w:rPr>
          <w:rFonts w:ascii="Arial" w:eastAsia="Arial" w:hAnsi="Arial" w:cs="Arial"/>
          <w:color w:val="000000"/>
          <w:highlight w:val="lightGray"/>
        </w:rPr>
        <w:lastRenderedPageBreak/>
        <w:t xml:space="preserve">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lastRenderedPageBreak/>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w:t>
      </w:r>
      <w:r>
        <w:rPr>
          <w:rFonts w:ascii="Arial" w:eastAsia="Arial" w:hAnsi="Arial" w:cs="Arial"/>
          <w:color w:val="000000"/>
          <w:highlight w:val="cyan"/>
        </w:rPr>
        <w:lastRenderedPageBreak/>
        <w:t>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P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lastRenderedPageBreak/>
        <w:t xml:space="preserve">6.8.5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965A5B3"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p>
    <w:p w14:paraId="0B9298C6"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Los resultados de las auditorías alimentan el informe trimestral de la Comisión de Gobierno de IA al CGTD.</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lastRenderedPageBreak/>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w:t>
      </w:r>
      <w:r>
        <w:rPr>
          <w:rFonts w:ascii="Arial" w:eastAsia="Arial" w:hAnsi="Arial" w:cs="Arial"/>
          <w:color w:val="000000"/>
          <w:highlight w:val="cyan"/>
        </w:rPr>
        <w:lastRenderedPageBreak/>
        <w:t>Procedimiento para el Registro, Control y Retiro de Software de la SUNAT (A-03.3.2-PR-01).</w:t>
      </w:r>
    </w:p>
    <w:p w14:paraId="6CEA57C6" w14:textId="77777777" w:rsidR="005F24C2" w:rsidRDefault="005F24C2">
      <w:pPr>
        <w:spacing w:after="60" w:line="276" w:lineRule="auto"/>
        <w:ind w:left="1276" w:hanging="720"/>
        <w:jc w:val="both"/>
        <w:rPr>
          <w:rFonts w:ascii="Arial" w:eastAsia="Arial" w:hAnsi="Arial" w:cs="Arial"/>
          <w:color w:val="000000"/>
        </w:rPr>
      </w:pP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.1 Sensibilización</w:t>
      </w:r>
    </w:p>
    <w:p w14:paraId="4C521181"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lastRenderedPageBreak/>
        <w:t>La finalidad y los principios institucionales aplicables a los sistemas basados en IA.</w:t>
      </w:r>
    </w:p>
    <w:p w14:paraId="4379805E"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.2 Capacitación y fortalecimiento de capacidades</w:t>
      </w:r>
    </w:p>
    <w:p w14:paraId="56A6AAD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.3 Gestión del cambio</w:t>
      </w:r>
    </w:p>
    <w:p w14:paraId="3003C92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w:t>
      </w:r>
      <w:r w:rsidRPr="00833CDE">
        <w:rPr>
          <w:rFonts w:ascii="Arial" w:eastAsia="Arial" w:hAnsi="Arial" w:cs="Arial"/>
          <w:color w:val="000000"/>
          <w:highlight w:val="lightGray"/>
        </w:rPr>
        <w:lastRenderedPageBreak/>
        <w:t>mejora continua, en concordancia con los numerales 28.1 y 28.2 del artículo 28 del Reglamento.</w:t>
      </w:r>
    </w:p>
    <w:p w14:paraId="2B6E073D" w14:textId="77777777" w:rsidR="00462A57" w:rsidRDefault="00462A57" w:rsidP="00462A57">
      <w:pPr>
        <w:jc w:val="both"/>
        <w:rPr>
          <w:color w:val="000000" w:themeColor="text1"/>
        </w:rPr>
      </w:pPr>
    </w:p>
    <w:p w14:paraId="413BDA4B" w14:textId="77777777" w:rsidR="00462A57" w:rsidRDefault="00462A57" w:rsidP="00462A57">
      <w:pPr>
        <w:jc w:val="both"/>
        <w:rPr>
          <w:color w:val="000000" w:themeColor="text1"/>
        </w:rPr>
      </w:pP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La OII supervisa el cumplimiento de los principios éticos en los SBIA, evalúa los riesgos de sesgo 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2D136C" w:rsidRDefault="00326739" w:rsidP="002D136C">
      <w:pPr>
        <w:pStyle w:val="SubtituloDONI"/>
        <w:spacing w:line="276" w:lineRule="auto"/>
        <w:ind w:left="851"/>
        <w:rPr>
          <w:color w:val="000000"/>
          <w:highlight w:val="lightGray"/>
        </w:rPr>
      </w:pPr>
      <w:r w:rsidRPr="002D136C">
        <w:rPr>
          <w:highlight w:val="lightGray"/>
        </w:rPr>
        <w:t>6.15 De la articulación con la formulación de iniciativas, proyectos e inversiones</w:t>
      </w:r>
    </w:p>
    <w:p w14:paraId="0BD19C27" w14:textId="61BE8FE3"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6.15.1 Toda iniciativa, requerimiento o proyecto que incorpore o prevea un componente basado en IA requiere la opinión de viabilidad de la Comisión de Gobierno de IA sobre dicho componente. 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12F8070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lastRenderedPageBreak/>
        <w:t>6.15.3 En la formulación de proyectos institucionales conforme al MGPP, cuando se identifique un componente basado en IA se incorpora la opinión de la Comisión como parte del caso de negocio, con carácter previo a su aprobación.</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4D30DF90" w14:textId="3F297E38" w:rsidR="000153F0" w:rsidRPr="00A72414" w:rsidRDefault="00326739" w:rsidP="00A72414">
      <w:pPr>
        <w:spacing w:after="60" w:line="276" w:lineRule="auto"/>
        <w:ind w:left="1276" w:hanging="709"/>
        <w:jc w:val="both"/>
        <w:rPr>
          <w:rFonts w:ascii="Arial" w:eastAsia="Arial" w:hAnsi="Arial" w:cs="Arial"/>
          <w:color w:val="000000"/>
          <w:highlight w:val="yellow"/>
        </w:rPr>
      </w:pPr>
      <w:r w:rsidRPr="00A72414">
        <w:rPr>
          <w:rFonts w:ascii="Arial" w:hAnsi="Arial" w:cs="Arial"/>
          <w:highlight w:val="lightGray"/>
        </w:rPr>
        <w:t>6.15.5</w:t>
      </w:r>
      <w:r w:rsidR="00A72414">
        <w:rPr>
          <w:rFonts w:ascii="Arial" w:hAnsi="Arial" w:cs="Arial"/>
          <w:highlight w:val="lightGray"/>
        </w:rPr>
        <w:t xml:space="preserve"> </w:t>
      </w:r>
      <w:r w:rsidRPr="00A72414">
        <w:rPr>
          <w:rFonts w:ascii="Arial" w:hAnsi="Arial" w:cs="Arial"/>
          <w:highlight w:val="lightGray"/>
        </w:rPr>
        <w:t xml:space="preserve">Las unidades competentes de cada instrumento incorporan en sus </w:t>
      </w:r>
      <w:r w:rsidR="00A72414">
        <w:rPr>
          <w:rFonts w:ascii="Arial" w:hAnsi="Arial" w:cs="Arial"/>
          <w:highlight w:val="lightGray"/>
        </w:rPr>
        <w:t xml:space="preserve">documentos normativos </w:t>
      </w:r>
      <w:r w:rsidRPr="00A72414">
        <w:rPr>
          <w:rFonts w:ascii="Arial" w:hAnsi="Arial" w:cs="Arial"/>
          <w:highlight w:val="lightGray"/>
        </w:rPr>
        <w:t>la verificación del componente de IA y la opinión de la Comisión, según sus competencias y sin afectar los sistemas administrativos del Estado, conforme al numeral 7.6</w:t>
      </w:r>
      <w:r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8" w:name="_Toc235003967"/>
      <w:r>
        <w:rPr>
          <w:rFonts w:cs="Arial"/>
          <w:bCs/>
          <w:color w:val="000000"/>
          <w:szCs w:val="22"/>
        </w:rPr>
        <w:lastRenderedPageBreak/>
        <w:t>DISPOSICIONES FINALES</w:t>
      </w:r>
      <w:bookmarkEnd w:id="8"/>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w:t>
      </w:r>
      <w:r w:rsidR="00174519" w:rsidRPr="00174519">
        <w:rPr>
          <w:b w:val="0"/>
          <w:bCs w:val="0"/>
          <w:highlight w:val="lightGray"/>
        </w:rPr>
        <w:t xml:space="preserve"> </w:t>
      </w:r>
      <w:r w:rsidR="00174519" w:rsidRPr="00174519">
        <w:rPr>
          <w:b w:val="0"/>
          <w:bCs w:val="0"/>
          <w:highlight w:val="lightGray"/>
        </w:rPr>
        <w:t>efectúa conforme a la METDONI. El detalle de aplicación de los Anexos, así como</w:t>
      </w:r>
      <w:r w:rsidR="00174519" w:rsidRPr="00174519">
        <w:rPr>
          <w:b w:val="0"/>
          <w:bCs w:val="0"/>
          <w:highlight w:val="lightGray"/>
        </w:rPr>
        <w:t xml:space="preserve"> </w:t>
      </w:r>
      <w:r w:rsidR="00174519" w:rsidRPr="00174519">
        <w:rPr>
          <w:b w:val="0"/>
          <w:bCs w:val="0"/>
          <w:highlight w:val="lightGray"/>
        </w:rPr>
        <w:t>los formatos, campos e indicadores operativos que de ellos se derivan, se establecen en los documentos normativos institucionales de menor rango</w:t>
      </w:r>
      <w:r w:rsidR="00174519" w:rsidRPr="00174519">
        <w:rPr>
          <w:b w:val="0"/>
          <w:bCs w:val="0"/>
          <w:highlight w:val="lightGray"/>
        </w:rPr>
        <w:t xml:space="preserve"> </w:t>
      </w:r>
      <w:r w:rsidR="00174519" w:rsidRPr="00174519">
        <w:rPr>
          <w:b w:val="0"/>
          <w:bCs w:val="0"/>
          <w:highlight w:val="lightGray"/>
        </w:rPr>
        <w:t>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w:t>
      </w:r>
      <w:r>
        <w:rPr>
          <w:b w:val="0"/>
          <w:bCs w:val="0"/>
          <w:highlight w:val="yellow"/>
        </w:rPr>
        <w:lastRenderedPageBreak/>
        <w:t>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9" w:name="_Toc235003968"/>
      <w:r>
        <w:rPr>
          <w:rFonts w:cs="Arial"/>
          <w:bCs/>
          <w:color w:val="000000"/>
          <w:szCs w:val="22"/>
        </w:rPr>
        <w:t>ANEXOS</w:t>
      </w:r>
      <w:bookmarkEnd w:id="9"/>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462A57"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rPr>
        <w:lastRenderedPageBreak/>
        <w:t>Anexo N.° 4: Ficha de Evaluación de Caso de Uso de SBIA</w:t>
      </w:r>
    </w:p>
    <w:p w14:paraId="4E934914" w14:textId="5B0D16A5" w:rsidR="00174519" w:rsidRPr="00923C59" w:rsidRDefault="00174519" w:rsidP="00174519">
      <w:pPr>
        <w:spacing w:before="200" w:after="120" w:line="276" w:lineRule="auto"/>
        <w:jc w:val="both"/>
        <w:rPr>
          <w:rFonts w:ascii="Arial" w:hAnsi="Arial" w:cs="Arial"/>
        </w:rPr>
      </w:pPr>
      <w:r w:rsidRPr="00174519">
        <w:rPr>
          <w:rFonts w:ascii="Arial" w:hAnsi="Arial" w:cs="Arial"/>
          <w:highlight w:val="lightGray"/>
        </w:rPr>
        <w:t>Constituye el contenido mínimo de la evaluación del caso de uso y recoge los</w:t>
      </w:r>
      <w:r w:rsidRPr="00174519">
        <w:rPr>
          <w:rFonts w:ascii="Arial" w:hAnsi="Arial" w:cs="Arial"/>
          <w:highlight w:val="lightGray"/>
        </w:rPr>
        <w:t xml:space="preserve"> </w:t>
      </w:r>
      <w:r w:rsidRPr="00174519">
        <w:rPr>
          <w:rFonts w:ascii="Arial" w:hAnsi="Arial" w:cs="Arial"/>
          <w:highlight w:val="lightGray"/>
        </w:rPr>
        <w:t xml:space="preserve">datos y </w:t>
      </w:r>
      <w:r w:rsidRPr="00174519">
        <w:rPr>
          <w:rFonts w:ascii="Arial" w:hAnsi="Arial" w:cs="Arial"/>
          <w:highlight w:val="lightGray"/>
        </w:rPr>
        <w:t>las evidencias</w:t>
      </w:r>
      <w:r w:rsidRPr="00174519">
        <w:rPr>
          <w:rFonts w:ascii="Arial" w:hAnsi="Arial" w:cs="Arial"/>
          <w:highlight w:val="lightGray"/>
        </w:rPr>
        <w:t xml:space="preserve"> del problema que sustentan la iniciativa, conforme al</w:t>
      </w:r>
      <w:r w:rsidRPr="00174519">
        <w:rPr>
          <w:rFonts w:ascii="Arial" w:hAnsi="Arial" w:cs="Arial"/>
          <w:highlight w:val="lightGray"/>
        </w:rPr>
        <w:t xml:space="preserve"> </w:t>
      </w:r>
      <w:r w:rsidRPr="00174519">
        <w:rPr>
          <w:rFonts w:ascii="Arial" w:hAnsi="Arial" w:cs="Arial"/>
          <w:highlight w:val="lightGray"/>
        </w:rPr>
        <w:t>numeral 28.4 del artículo 28 del RLIA. Se adecúa a la naturaleza y magnitud de la iniciativa, requerimiento o</w:t>
      </w:r>
      <w:r w:rsidRPr="00174519">
        <w:rPr>
          <w:rFonts w:ascii="Arial" w:hAnsi="Arial" w:cs="Arial"/>
          <w:highlight w:val="lightGray"/>
        </w:rPr>
        <w:t xml:space="preserve"> </w:t>
      </w:r>
      <w:r w:rsidRPr="00174519">
        <w:rPr>
          <w:rFonts w:ascii="Arial" w:hAnsi="Arial" w:cs="Arial"/>
          <w:highlight w:val="lightGray"/>
        </w:rPr>
        <w:t>proyecto, conforme al numeral 6.15.1</w:t>
      </w:r>
      <w:r w:rsidRPr="00174519">
        <w:rPr>
          <w:rFonts w:ascii="Arial" w:hAnsi="Arial" w:cs="Arial"/>
        </w:rPr>
        <w:t>.</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0FED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87E4DA" w16cex:dateUtc="2026-07-21T16: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0FED1C" w16cid:durableId="6387E4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7F3BE" w14:textId="77777777" w:rsidR="00D701BD" w:rsidRDefault="00D701BD">
      <w:pPr>
        <w:spacing w:after="0" w:line="240" w:lineRule="auto"/>
      </w:pPr>
      <w:r>
        <w:separator/>
      </w:r>
    </w:p>
  </w:endnote>
  <w:endnote w:type="continuationSeparator" w:id="0">
    <w:p w14:paraId="23F47B89" w14:textId="77777777" w:rsidR="00D701BD" w:rsidRDefault="00D70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48CF9" w14:textId="77777777" w:rsidR="00D701BD" w:rsidRDefault="00D701BD">
      <w:pPr>
        <w:spacing w:after="0" w:line="240" w:lineRule="auto"/>
      </w:pPr>
      <w:r>
        <w:separator/>
      </w:r>
    </w:p>
  </w:footnote>
  <w:footnote w:type="continuationSeparator" w:id="0">
    <w:p w14:paraId="2687BC9D" w14:textId="77777777" w:rsidR="00D701BD" w:rsidRDefault="00D701BD">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0"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5"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4"/>
  </w:num>
  <w:num w:numId="2" w16cid:durableId="997340142">
    <w:abstractNumId w:val="2"/>
  </w:num>
  <w:num w:numId="3" w16cid:durableId="818888625">
    <w:abstractNumId w:val="10"/>
  </w:num>
  <w:num w:numId="4" w16cid:durableId="789980796">
    <w:abstractNumId w:val="11"/>
  </w:num>
  <w:num w:numId="5" w16cid:durableId="2135756204">
    <w:abstractNumId w:val="3"/>
  </w:num>
  <w:num w:numId="6" w16cid:durableId="1603613276">
    <w:abstractNumId w:val="5"/>
  </w:num>
  <w:num w:numId="7" w16cid:durableId="1698236715">
    <w:abstractNumId w:val="23"/>
  </w:num>
  <w:num w:numId="8" w16cid:durableId="1567180075">
    <w:abstractNumId w:val="25"/>
  </w:num>
  <w:num w:numId="9" w16cid:durableId="260988981">
    <w:abstractNumId w:val="18"/>
  </w:num>
  <w:num w:numId="10" w16cid:durableId="360321617">
    <w:abstractNumId w:val="12"/>
  </w:num>
  <w:num w:numId="11" w16cid:durableId="11301047">
    <w:abstractNumId w:val="17"/>
  </w:num>
  <w:num w:numId="12" w16cid:durableId="104814016">
    <w:abstractNumId w:val="20"/>
  </w:num>
  <w:num w:numId="13" w16cid:durableId="1885175596">
    <w:abstractNumId w:val="0"/>
  </w:num>
  <w:num w:numId="14" w16cid:durableId="167066823">
    <w:abstractNumId w:val="21"/>
  </w:num>
  <w:num w:numId="15" w16cid:durableId="954553902">
    <w:abstractNumId w:val="19"/>
  </w:num>
  <w:num w:numId="16" w16cid:durableId="1324506319">
    <w:abstractNumId w:val="8"/>
  </w:num>
  <w:num w:numId="17" w16cid:durableId="1839225738">
    <w:abstractNumId w:val="24"/>
  </w:num>
  <w:num w:numId="18" w16cid:durableId="267396013">
    <w:abstractNumId w:val="13"/>
  </w:num>
  <w:num w:numId="19" w16cid:durableId="1228301004">
    <w:abstractNumId w:val="15"/>
  </w:num>
  <w:num w:numId="20" w16cid:durableId="554125780">
    <w:abstractNumId w:val="6"/>
  </w:num>
  <w:num w:numId="21" w16cid:durableId="1964574287">
    <w:abstractNumId w:val="9"/>
  </w:num>
  <w:num w:numId="22" w16cid:durableId="1868059492">
    <w:abstractNumId w:val="16"/>
  </w:num>
  <w:num w:numId="23" w16cid:durableId="529534098">
    <w:abstractNumId w:val="1"/>
  </w:num>
  <w:num w:numId="24" w16cid:durableId="1828084485">
    <w:abstractNumId w:val="7"/>
  </w:num>
  <w:num w:numId="25" w16cid:durableId="1934242185">
    <w:abstractNumId w:val="4"/>
  </w:num>
  <w:num w:numId="26" w16cid:durableId="1799032513">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7728"/>
    <w:rsid w:val="000B6CAE"/>
    <w:rsid w:val="000C43E2"/>
    <w:rsid w:val="000E4C2C"/>
    <w:rsid w:val="000E5B6B"/>
    <w:rsid w:val="000E7544"/>
    <w:rsid w:val="001164EE"/>
    <w:rsid w:val="00141E9A"/>
    <w:rsid w:val="001437F1"/>
    <w:rsid w:val="00153C2B"/>
    <w:rsid w:val="001609F8"/>
    <w:rsid w:val="00164552"/>
    <w:rsid w:val="00166F8B"/>
    <w:rsid w:val="00174519"/>
    <w:rsid w:val="0018147B"/>
    <w:rsid w:val="0018222F"/>
    <w:rsid w:val="001B791A"/>
    <w:rsid w:val="001C5C4D"/>
    <w:rsid w:val="001D0B85"/>
    <w:rsid w:val="001F16B0"/>
    <w:rsid w:val="002102ED"/>
    <w:rsid w:val="00215BA9"/>
    <w:rsid w:val="002222E3"/>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5686"/>
    <w:rsid w:val="00537E02"/>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53DD"/>
    <w:rsid w:val="00665F3F"/>
    <w:rsid w:val="00677324"/>
    <w:rsid w:val="006806C8"/>
    <w:rsid w:val="00682244"/>
    <w:rsid w:val="00691FB4"/>
    <w:rsid w:val="00697B72"/>
    <w:rsid w:val="006B3AF5"/>
    <w:rsid w:val="006B4241"/>
    <w:rsid w:val="006C344B"/>
    <w:rsid w:val="00714044"/>
    <w:rsid w:val="007324DC"/>
    <w:rsid w:val="0075082A"/>
    <w:rsid w:val="00771AB8"/>
    <w:rsid w:val="007808CA"/>
    <w:rsid w:val="007C4F40"/>
    <w:rsid w:val="007D181A"/>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EC0"/>
    <w:rsid w:val="00A964A4"/>
    <w:rsid w:val="00AA0ACB"/>
    <w:rsid w:val="00AA2DB4"/>
    <w:rsid w:val="00AB0407"/>
    <w:rsid w:val="00AD458B"/>
    <w:rsid w:val="00AD5F7D"/>
    <w:rsid w:val="00AE1F2D"/>
    <w:rsid w:val="00AE3DBA"/>
    <w:rsid w:val="00AE6854"/>
    <w:rsid w:val="00AF2BA4"/>
    <w:rsid w:val="00B23382"/>
    <w:rsid w:val="00B27FA6"/>
    <w:rsid w:val="00B34A74"/>
    <w:rsid w:val="00B46315"/>
    <w:rsid w:val="00B474EF"/>
    <w:rsid w:val="00B629FD"/>
    <w:rsid w:val="00B63942"/>
    <w:rsid w:val="00B71027"/>
    <w:rsid w:val="00B72BA5"/>
    <w:rsid w:val="00B72DD0"/>
    <w:rsid w:val="00B852DB"/>
    <w:rsid w:val="00B87F34"/>
    <w:rsid w:val="00B9744D"/>
    <w:rsid w:val="00BA798A"/>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D5098"/>
    <w:rsid w:val="00CD5536"/>
    <w:rsid w:val="00CE3C2A"/>
    <w:rsid w:val="00CE6C00"/>
    <w:rsid w:val="00CF1187"/>
    <w:rsid w:val="00CF4842"/>
    <w:rsid w:val="00D108CB"/>
    <w:rsid w:val="00D16977"/>
    <w:rsid w:val="00D35170"/>
    <w:rsid w:val="00D42CEC"/>
    <w:rsid w:val="00D44574"/>
    <w:rsid w:val="00D601EF"/>
    <w:rsid w:val="00D701BD"/>
    <w:rsid w:val="00D75749"/>
    <w:rsid w:val="00D83EE0"/>
    <w:rsid w:val="00DA3E65"/>
    <w:rsid w:val="00DA4B1B"/>
    <w:rsid w:val="00DC2B05"/>
    <w:rsid w:val="00DC7025"/>
    <w:rsid w:val="00DE269D"/>
    <w:rsid w:val="00DE41F6"/>
    <w:rsid w:val="00DF04A0"/>
    <w:rsid w:val="00E22438"/>
    <w:rsid w:val="00E22CB4"/>
    <w:rsid w:val="00E22E28"/>
    <w:rsid w:val="00E3106C"/>
    <w:rsid w:val="00E34945"/>
    <w:rsid w:val="00E67A73"/>
    <w:rsid w:val="00E75696"/>
    <w:rsid w:val="00E87621"/>
    <w:rsid w:val="00E9145B"/>
    <w:rsid w:val="00E950CF"/>
    <w:rsid w:val="00EB62D4"/>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4948</TotalTime>
  <Pages>35</Pages>
  <Words>10904</Words>
  <Characters>59978</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140</cp:revision>
  <dcterms:created xsi:type="dcterms:W3CDTF">2026-03-23T21:09:00Z</dcterms:created>
  <dcterms:modified xsi:type="dcterms:W3CDTF">2026-07-29T08:11:00Z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