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sidRPr="00577C4C">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sidRPr="00577C4C">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 xml:space="preserve">MGPP: Modelo de </w:t>
      </w:r>
      <w:r w:rsidR="0074173E">
        <w:rPr>
          <w:b w:val="0"/>
          <w:bCs w:val="0"/>
          <w:color w:val="000000"/>
        </w:rPr>
        <w:t>Gobernabilidad</w:t>
      </w:r>
      <w:r w:rsidRPr="00577C4C">
        <w:rPr>
          <w:b w:val="0"/>
          <w:bCs w:val="0"/>
          <w:color w:val="000000"/>
        </w:rPr>
        <w:t xml:space="preserve"> de </w:t>
      </w:r>
      <w:r>
        <w:rPr>
          <w:b w:val="0"/>
          <w:bCs w:val="0"/>
          <w:color w:val="000000"/>
        </w:rPr>
        <w:t>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sidRPr="00577C4C">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w:t>
      </w:r>
      <w:r w:rsidR="0094125C" w:rsidRPr="0094125C">
        <w:rPr>
          <w:rFonts w:ascii="Arial" w:hAnsi="Arial" w:cs="Arial"/>
          <w:highlight w:val="yellow"/>
        </w:rPr>
        <w:t>y observando la NTP-ISO/IEC 42001:2025 de uso obligatorio conforme al numeral 28.2 del artículo 28 del RLIA</w:t>
      </w:r>
      <w:r>
        <w:rPr>
          <w:rFonts w:ascii="Arial" w:hAnsi="Arial" w:cs="Arial"/>
          <w:highlight w:val="yellow"/>
        </w:rPr>
        <w:t>,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 xml:space="preserve">seguridad de la información, las contrataciones y la </w:t>
      </w:r>
      <w:r w:rsidRPr="00D37B6E">
        <w:rPr>
          <w:rFonts w:ascii="Arial" w:hAnsi="Arial" w:cs="Arial"/>
          <w:highlight w:val="green"/>
        </w:rPr>
        <w:t>gestión de las personas:</w:t>
      </w:r>
      <w:r w:rsidR="00D37B6E" w:rsidRPr="00D37B6E">
        <w:rPr>
          <w:highlight w:val="green"/>
        </w:rPr>
        <w:t xml:space="preserve"> </w:t>
      </w:r>
      <w:r w:rsidR="00D37B6E" w:rsidRPr="00D37B6E">
        <w:rPr>
          <w:rFonts w:ascii="Arial" w:hAnsi="Arial" w:cs="Arial"/>
          <w:highlight w:val="green"/>
        </w:rPr>
        <w:t>sobre ellos identifica lo que corresponde verificar respecto del componente de IA</w:t>
      </w:r>
      <w:r w:rsidR="00D37B6E" w:rsidRPr="00D37B6E">
        <w:rPr>
          <w:rFonts w:ascii="Arial" w:hAnsi="Arial" w:cs="Arial"/>
          <w:highlight w:val="green"/>
        </w:rPr>
        <w:t>.</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7F734DDA" w14:textId="77777777"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66A61B92" w:rsidR="00524301" w:rsidRPr="00641EAF" w:rsidRDefault="00524301" w:rsidP="00641EAF">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 xml:space="preserve">Resolución de Superintendencia N.° 000144-2026/SUNAT (30/07/2026), que </w:t>
      </w:r>
      <w:r w:rsidRPr="00641EAF">
        <w:rPr>
          <w:b w:val="0"/>
          <w:bCs w:val="0"/>
          <w:color w:val="000000"/>
          <w:highlight w:val="green"/>
        </w:rPr>
        <w:t>aprueba la Política de uso seguro, responsable y ético de los sistemas basados en inteligencia artificial en la Superintendencia Nacional de Aduanas y de Administración Tributaria</w:t>
      </w:r>
      <w:r w:rsidR="00641EAF" w:rsidRPr="00641EAF">
        <w:rPr>
          <w:rFonts w:asciiTheme="minorHAnsi" w:eastAsiaTheme="minorEastAsia" w:hAnsiTheme="minorHAnsi" w:cstheme="minorBidi"/>
          <w:b w:val="0"/>
          <w:bCs w:val="0"/>
        </w:rPr>
        <w:t xml:space="preserve">, </w:t>
      </w:r>
      <w:r w:rsidR="00641EAF" w:rsidRPr="00641EAF">
        <w:rPr>
          <w:b w:val="0"/>
          <w:bCs w:val="0"/>
          <w:color w:val="000000"/>
          <w:highlight w:val="green"/>
        </w:rPr>
        <w:t>en adelante, la Política de IA</w:t>
      </w:r>
      <w:r w:rsidR="00641EAF">
        <w:rPr>
          <w:b w:val="0"/>
          <w:bCs w:val="0"/>
          <w:color w:val="000000"/>
          <w:highlight w:val="green"/>
        </w:rPr>
        <w:t>.</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incluyendo evaluación de viabilidad, diseño, desarrollo o adquisición, pruebas, despliegue, operación, monitoreo y desactivación. [ISO/IEC 22989:2022, sección 3.2.1; </w:t>
      </w:r>
      <w:r w:rsidR="00AA0B3B" w:rsidRPr="00AA0B3B">
        <w:rPr>
          <w:b w:val="0"/>
          <w:bCs w:val="0"/>
          <w:color w:val="000000"/>
        </w:rPr>
        <w:t>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Componente generativo:</w:t>
      </w:r>
      <w:r w:rsidRPr="00AA0B3B">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Controles de contención (Guardrails):</w:t>
      </w:r>
      <w:r w:rsidRPr="00AA0B3B">
        <w:rPr>
          <w:b w:val="0"/>
          <w:bCs w:val="0"/>
          <w:color w:val="000000"/>
          <w:highlight w:val="green"/>
        </w:rPr>
        <w:t xml:space="preserve"> </w:t>
      </w:r>
      <w:r w:rsidR="00171767" w:rsidRPr="00AA0B3B">
        <w:rPr>
          <w:b w:val="0"/>
          <w:bCs w:val="0"/>
          <w:color w:val="000000"/>
          <w:highlight w:val="green"/>
        </w:rPr>
        <w:t xml:space="preserve">Conjunto de controles, reglas y mecanismos </w:t>
      </w:r>
      <w:r w:rsidR="00171767" w:rsidRPr="00171767">
        <w:rPr>
          <w:b w:val="0"/>
          <w:bCs w:val="0"/>
          <w:color w:val="000000"/>
          <w:highlight w:val="green"/>
        </w:rPr>
        <w:t xml:space="preserve">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sidRPr="00AA0B3B">
        <w:rPr>
          <w:b w:val="0"/>
          <w:bCs w:val="0"/>
          <w:color w:val="000000"/>
          <w:highlight w:val="yellow"/>
          <w:lang w:val="en-US"/>
        </w:rPr>
        <w:t xml:space="preserve">[D.S. N.° 115-2025-PCM, Art. 30; </w:t>
      </w:r>
      <w:r w:rsidR="00AA0B3B" w:rsidRPr="00AA0B3B">
        <w:rPr>
          <w:b w:val="0"/>
          <w:bCs w:val="0"/>
          <w:color w:val="000000"/>
          <w:highlight w:val="yellow"/>
          <w:lang w:val="en-US"/>
        </w:rPr>
        <w:t>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w:t>
      </w:r>
      <w:r w:rsidR="00AA0B3B">
        <w:rPr>
          <w:b w:val="0"/>
          <w:bCs w:val="0"/>
          <w:color w:val="000000"/>
        </w:rPr>
        <w:t xml:space="preserve"> </w:t>
      </w:r>
      <w:r w:rsidR="00FB7434">
        <w:rPr>
          <w:b w:val="0"/>
          <w:bCs w:val="0"/>
          <w:color w:val="000000"/>
        </w:rPr>
        <w:t>[D.S. N.° 115-2025-PCM, Art. 7 lit. h);</w:t>
      </w:r>
      <w:r>
        <w:rPr>
          <w:b w:val="0"/>
          <w:bCs w:val="0"/>
          <w:color w:val="000000"/>
        </w:rPr>
        <w:t xml:space="preserve">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sidRPr="00AA0B3B">
        <w:rPr>
          <w:b w:val="0"/>
          <w:bCs w:val="0"/>
          <w:color w:val="000000"/>
          <w:lang w:val="en-US"/>
        </w:rPr>
        <w:t>[Ley N.° 31814, Art. 2; D.S. N.° 115-2025-PCM, Art. 6</w:t>
      </w:r>
      <w:r w:rsidR="00AA0B3B" w:rsidRPr="00AA0B3B">
        <w:rPr>
          <w:b w:val="0"/>
          <w:bCs w:val="0"/>
          <w:color w:val="000000"/>
          <w:lang w:val="en-US"/>
        </w:rPr>
        <w:t xml:space="preserve"> </w:t>
      </w:r>
      <w:r w:rsidR="00AA0B3B">
        <w:rPr>
          <w:b w:val="0"/>
          <w:bCs w:val="0"/>
          <w:color w:val="000000"/>
          <w:lang w:val="en-US"/>
        </w:rPr>
        <w:t>l</w:t>
      </w:r>
      <w:r w:rsidR="00AA0B3B" w:rsidRPr="00AA0B3B">
        <w:rPr>
          <w:b w:val="0"/>
          <w:bCs w:val="0"/>
          <w:color w:val="000000"/>
          <w:lang w:val="en-US"/>
        </w:rPr>
        <w:t>it. j</w:t>
      </w:r>
      <w:r w:rsidRPr="00AA0B3B">
        <w:rPr>
          <w:b w:val="0"/>
          <w:bCs w:val="0"/>
          <w:color w:val="000000"/>
          <w:lang w:val="en-US"/>
        </w:rPr>
        <w:t>]</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sidRPr="001222E1">
        <w:rPr>
          <w:rFonts w:ascii="Arial" w:hAnsi="Arial" w:cs="Arial"/>
          <w:highlight w:val="yellow"/>
        </w:rPr>
        <w:t xml:space="preserve">Política de </w:t>
      </w:r>
      <w:r w:rsidR="001222E1" w:rsidRPr="001222E1">
        <w:rPr>
          <w:rFonts w:ascii="Arial" w:hAnsi="Arial" w:cs="Arial"/>
          <w:highlight w:val="yellow"/>
        </w:rPr>
        <w:t>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3F7DD40"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lastRenderedPageBreak/>
              <w:t>Aprueba la clasificación de riesgo de todos los SBIA conforme al numeral 6.2.2: de manera individual en los de riesgo alto y en los estratégicos para la entidad, y de manera agregada en los de riesgo aceptable. 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sidRPr="007B626B">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sidRPr="007B626B">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t xml:space="preserve">Proponer la clasificación de riesgo de cada SBIA, previo al inicio del desarrollo o adquisición, y elevar al CGTD la relación de las propuestas de riesgo aceptable para su </w:t>
            </w:r>
            <w:r w:rsidRPr="002840F0">
              <w:rPr>
                <w:b w:val="0"/>
                <w:bCs w:val="0"/>
                <w:highlight w:val="green"/>
              </w:rPr>
              <w:lastRenderedPageBreak/>
              <w:t>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lastRenderedPageBreak/>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043148D" w:rsidR="00B34A74" w:rsidRPr="00834FEE" w:rsidRDefault="00B34A74" w:rsidP="00904C72">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sidR="00834FEE" w:rsidRPr="00834FEE">
              <w:rPr>
                <w:b w:val="0"/>
                <w:bCs w:val="0"/>
                <w:highlight w:val="green"/>
              </w:rPr>
              <w:t>Revisa la EIA en materia de cumplimiento normativo. Cuando la revisión comprenda el sentido y el alcance de las normas tributarias o aduaneras, recaba la opinión de la Intendencia Nacional Jurídico Tributaria o de la Intendencia Nacional Jurídico Aduanera, según la materia.</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lastRenderedPageBreak/>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lastRenderedPageBreak/>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sidRPr="0045319E">
              <w:rPr>
                <w:rFonts w:ascii="Arial" w:eastAsia="Arial" w:hAnsi="Arial" w:cs="Arial"/>
                <w:highlight w:val="green"/>
              </w:rPr>
              <w:t xml:space="preserve">Aprobación del diseño de la arquitectura de solución por la División de Arquitectura competente según la materia, conforme al numeral 6.5.4. </w:t>
            </w:r>
            <w:r w:rsidR="00EC21E7" w:rsidRPr="00EC21E7">
              <w:rPr>
                <w:rFonts w:ascii="Arial" w:eastAsia="Arial" w:hAnsi="Arial" w:cs="Arial"/>
                <w:highlight w:val="green"/>
              </w:rPr>
              <w:t>Para SBIA de riesgo alto, 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 xml:space="preserve">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w:t>
            </w:r>
            <w:r w:rsidRPr="00236A5F">
              <w:rPr>
                <w:rFonts w:ascii="Arial" w:eastAsia="Arial" w:hAnsi="Arial" w:cs="Arial"/>
                <w:highlight w:val="green"/>
              </w:rPr>
              <w:lastRenderedPageBreak/>
              <w:t>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w:t>
            </w:r>
            <w:r w:rsidRPr="00FA4DEA">
              <w:rPr>
                <w:rFonts w:ascii="Arial" w:hAnsi="Arial" w:cs="Arial"/>
                <w:highlight w:val="green"/>
              </w:rPr>
              <w:lastRenderedPageBreak/>
              <w:t>conformidad de la 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la recibe. La falta de información </w:t>
      </w:r>
      <w:r w:rsidR="00A84BB6" w:rsidRPr="007B626B">
        <w:rPr>
          <w:rFonts w:ascii="Arial" w:eastAsia="Arial" w:hAnsi="Arial" w:cs="Arial"/>
          <w:color w:val="000000"/>
          <w:highlight w:val="green"/>
        </w:rPr>
        <w:t xml:space="preserve">no es causal de pronunciamiento no favorable. </w:t>
      </w:r>
      <w:r w:rsidR="007B626B" w:rsidRPr="007B626B">
        <w:rPr>
          <w:rFonts w:ascii="Arial" w:eastAsia="Arial" w:hAnsi="Arial" w:cs="Arial"/>
          <w:color w:val="000000"/>
          <w:highlight w:val="green"/>
        </w:rPr>
        <w:t>El pronunciamiento no favorable se fundamenta por escrito y se eleva al CGTD. Cuando invoca el uso indebido o una contravención normativa, el CGTD verifica la causal y, si concurre, deja constancia en acta de que el caso de uso no procede</w:t>
      </w:r>
      <w:r w:rsidR="007B626B">
        <w:rPr>
          <w:rFonts w:ascii="Arial" w:eastAsia="Arial" w:hAnsi="Arial" w:cs="Arial"/>
          <w:color w:val="000000"/>
          <w:highlight w:val="green"/>
        </w:rPr>
        <w:t xml:space="preserve">. </w:t>
      </w:r>
      <w:r w:rsidR="007B626B" w:rsidRPr="007B626B">
        <w:rPr>
          <w:rFonts w:ascii="Arial" w:eastAsia="Arial" w:hAnsi="Arial" w:cs="Arial"/>
          <w:color w:val="000000"/>
          <w:highlight w:val="green"/>
        </w:rPr>
        <w:t>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 xml:space="preserve">La INSI desarrolla y aprueba, </w:t>
      </w:r>
      <w:r w:rsidR="00DF4730" w:rsidRPr="00DF4730">
        <w:rPr>
          <w:rFonts w:ascii="Arial" w:hAnsi="Arial" w:cs="Arial"/>
          <w:color w:val="000000"/>
          <w:highlight w:val="lightGray"/>
        </w:rPr>
        <w:t>conforme a sus competencias, a la METDONI y al numeral 7.6</w:t>
      </w:r>
      <w:r w:rsidR="00DF4730">
        <w:rPr>
          <w:rFonts w:ascii="Arial" w:hAnsi="Arial" w:cs="Arial"/>
          <w:color w:val="000000"/>
          <w:highlight w:val="lightGray"/>
        </w:rPr>
        <w:t xml:space="preserve">, </w:t>
      </w:r>
      <w:r w:rsidR="00166F8B" w:rsidRPr="00166F8B">
        <w:rPr>
          <w:rFonts w:ascii="Arial" w:hAnsi="Arial" w:cs="Arial"/>
          <w:color w:val="000000"/>
          <w:highlight w:val="lightGray"/>
        </w:rPr>
        <w:t>la metodología del ciclo de vida del SBIA previsto en el numeral 6.1.1</w:t>
      </w:r>
      <w:r w:rsidR="00166F8B" w:rsidRPr="0094125C">
        <w:rPr>
          <w:rFonts w:ascii="Arial" w:hAnsi="Arial" w:cs="Arial"/>
          <w:color w:val="000000"/>
          <w:highlight w:val="lightGray"/>
        </w:rPr>
        <w:t>.</w:t>
      </w:r>
      <w:r w:rsidR="00A72414" w:rsidRPr="0094125C">
        <w:rPr>
          <w:rFonts w:ascii="Arial" w:hAnsi="Arial" w:cs="Arial"/>
          <w:color w:val="000000"/>
          <w:highlight w:val="lightGray"/>
        </w:rPr>
        <w:t xml:space="preserve"> </w:t>
      </w:r>
      <w:r w:rsidR="0094125C" w:rsidRPr="0094125C">
        <w:rPr>
          <w:rFonts w:ascii="Arial" w:hAnsi="Arial" w:cs="Arial"/>
          <w:color w:val="000000"/>
          <w:highlight w:val="green"/>
        </w:rPr>
        <w:t>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acogidas, estas se elevan al CGTD, que se pronuncia con anterioridad a la aprobación.</w:t>
      </w:r>
      <w:r w:rsidR="00166F8B" w:rsidRPr="0094125C">
        <w:rPr>
          <w:rFonts w:ascii="Arial" w:hAnsi="Arial" w:cs="Arial"/>
          <w:color w:val="000000"/>
          <w:highlight w:val="green"/>
        </w:rPr>
        <w:t xml:space="preserve"> </w:t>
      </w:r>
      <w:r w:rsidR="00166F8B" w:rsidRPr="00166F8B">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proofErr w:type="gramStart"/>
      <w:r w:rsidRPr="00F4172E">
        <w:rPr>
          <w:rFonts w:ascii="Arial" w:eastAsia="Arial" w:hAnsi="Arial" w:cs="Arial"/>
          <w:color w:val="000000"/>
          <w:highlight w:val="green"/>
        </w:rPr>
        <w:t xml:space="preserve">6.1.6 </w:t>
      </w:r>
      <w:r w:rsidRPr="00F4172E">
        <w:rPr>
          <w:rFonts w:ascii="Arial" w:eastAsia="Arial" w:hAnsi="Arial" w:cs="Arial"/>
          <w:color w:val="000000"/>
          <w:highlight w:val="green"/>
        </w:rPr>
        <w:t xml:space="preserve"> </w:t>
      </w:r>
      <w:r w:rsidRPr="00F4172E">
        <w:rPr>
          <w:rFonts w:ascii="Arial" w:eastAsia="Arial" w:hAnsi="Arial" w:cs="Arial"/>
          <w:color w:val="000000"/>
          <w:highlight w:val="green"/>
        </w:rPr>
        <w:t>Todo</w:t>
      </w:r>
      <w:proofErr w:type="gramEnd"/>
      <w:r w:rsidRPr="00F4172E">
        <w:rPr>
          <w:rFonts w:ascii="Arial" w:eastAsia="Arial" w:hAnsi="Arial" w:cs="Arial"/>
          <w:color w:val="000000"/>
          <w:highlight w:val="green"/>
        </w:rPr>
        <w:t xml:space="preserve">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69E4519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w:t>
      </w:r>
      <w:r>
        <w:rPr>
          <w:rFonts w:ascii="Arial" w:hAnsi="Arial" w:cs="Arial"/>
          <w:color w:val="000000"/>
          <w:highlight w:val="cyan"/>
        </w:rPr>
        <w:lastRenderedPageBreak/>
        <w:t>(artículo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Pr>
          <w:rFonts w:ascii="Arial" w:hAnsi="Arial" w:cs="Arial"/>
          <w:color w:val="000000"/>
          <w:highlight w:val="cyan"/>
        </w:rPr>
        <w:t>La clasificación y la gestión de los riesgos de los SBIA se alinean a la NTP-ISO 31000 vigente, de uso obligatorio conforme a la Sexta Disposición Complementaria Final del RLIA.</w:t>
      </w:r>
    </w:p>
    <w:p w14:paraId="0F68BDCC" w14:textId="46BB88C6"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La clasificación es parte de la evaluación de viabilidad de acuerdo al ciclo de vida descrito en el 6.1.1. La clasificación aplica los criterios de la Matriz de Clasificación de Riesgos</w:t>
      </w:r>
      <w:r w:rsidR="00565AB1">
        <w:rPr>
          <w:rFonts w:ascii="Arial" w:eastAsia="Arial" w:hAnsi="Arial" w:cs="Arial"/>
          <w:highlight w:val="green"/>
        </w:rPr>
        <w:t xml:space="preserve"> de IA</w:t>
      </w:r>
      <w:r w:rsidR="003758C8" w:rsidRPr="003758C8">
        <w:rPr>
          <w:rFonts w:ascii="Arial" w:eastAsia="Arial" w:hAnsi="Arial" w:cs="Arial"/>
          <w:highlight w:val="green"/>
        </w:rPr>
        <w:t xml:space="preserve">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r>
      <w:r w:rsidR="00E4189E" w:rsidRPr="00E4189E">
        <w:rPr>
          <w:rFonts w:ascii="Arial" w:eastAsia="Arial" w:hAnsi="Arial" w:cs="Arial"/>
          <w:color w:val="000000"/>
          <w:highlight w:val="green"/>
        </w:rPr>
        <w:t>Los controles aplicables a un SBIA se determinan a partir de su clasificación de riesgo y de los criterios establecidos en los numerales 6.6, 6.7.2, 6.9 y 6.10: no se proponen ni se negocian</w:t>
      </w:r>
      <w:r w:rsidR="00A84BB6" w:rsidRPr="00A84BB6">
        <w:rPr>
          <w:rFonts w:ascii="Arial" w:eastAsia="Arial" w:hAnsi="Arial" w:cs="Arial"/>
          <w:color w:val="000000"/>
          <w:highlight w:val="green"/>
        </w:rPr>
        <w:t>.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lastRenderedPageBreak/>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sidRPr="00EC21E7">
        <w:rPr>
          <w:rFonts w:ascii="Arial" w:eastAsia="Arial" w:hAnsi="Arial" w:cs="Arial"/>
          <w:color w:val="000000"/>
          <w:highlight w:val="green"/>
        </w:rPr>
        <w:t>6.4.1</w:t>
      </w:r>
      <w:r w:rsidRPr="00EC21E7">
        <w:rPr>
          <w:rFonts w:ascii="Arial" w:eastAsia="Arial" w:hAnsi="Arial" w:cs="Arial"/>
          <w:color w:val="000000"/>
          <w:highlight w:val="green"/>
        </w:rPr>
        <w:tab/>
      </w:r>
      <w:r w:rsidR="00EC21E7" w:rsidRPr="00EC21E7">
        <w:rPr>
          <w:rFonts w:ascii="Arial" w:eastAsia="Arial" w:hAnsi="Arial" w:cs="Arial"/>
          <w:color w:val="000000"/>
          <w:highlight w:val="green"/>
        </w:rPr>
        <w:t>Todo SBIA de riesgo alto debe contar con una EIA aprobada por el CGTD previamente al inicio de su desarrollo, adquisición o implementación, conforme al artículo 30 del RLIA</w:t>
      </w:r>
      <w:r w:rsidRPr="00EC21E7">
        <w:rPr>
          <w:rFonts w:ascii="Arial" w:eastAsia="Arial" w:hAnsi="Arial" w:cs="Arial"/>
          <w:color w:val="000000"/>
          <w:highlight w:val="green"/>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sidRPr="00EC21E7">
        <w:rPr>
          <w:rFonts w:ascii="Arial" w:hAnsi="Arial" w:cs="Arial"/>
          <w:color w:val="000000"/>
          <w:highlight w:val="green"/>
        </w:rPr>
        <w:t>6.4.2</w:t>
      </w:r>
      <w:r w:rsidRPr="00EC21E7">
        <w:rPr>
          <w:rFonts w:ascii="Arial" w:hAnsi="Arial" w:cs="Arial"/>
          <w:color w:val="000000"/>
          <w:highlight w:val="green"/>
        </w:rPr>
        <w:tab/>
      </w:r>
      <w:r w:rsidR="00F4172E" w:rsidRPr="00F4172E">
        <w:rPr>
          <w:rFonts w:ascii="Arial" w:hAnsi="Arial" w:cs="Arial"/>
          <w:color w:val="000000"/>
          <w:highlight w:val="green"/>
        </w:rPr>
        <w:t>El propietario del caso de uso elabora la EIA con la participación del equipo técnico multidisciplinario del SBIA previsto en el numeral 6.1.6.</w:t>
      </w:r>
      <w:r w:rsidR="00F4172E">
        <w:rPr>
          <w:rFonts w:ascii="Arial" w:hAnsi="Arial" w:cs="Arial"/>
          <w:color w:val="000000"/>
          <w:highlight w:val="green"/>
        </w:rPr>
        <w:t xml:space="preserve"> </w:t>
      </w:r>
      <w:r w:rsidR="00EC21E7" w:rsidRPr="00EC21E7">
        <w:rPr>
          <w:rFonts w:ascii="Arial" w:hAnsi="Arial" w:cs="Arial"/>
          <w:color w:val="000000"/>
          <w:highlight w:val="green"/>
        </w:rPr>
        <w:t>La EIA incorpora los aspectos de negocio (en particular el impacto en el administrado) y los aspectos técnicos. La Comisión de Gobierno de IA, la OII y la INALI la revisan. Concluidas las revisiones, la Comisión de Gobierno de IA eleva la EIA al CGTD para su aprobación conforme al numeral 6.4.1.</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50D4E29B"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45319E" w:rsidRPr="0045319E">
        <w:rPr>
          <w:rFonts w:ascii="Arial" w:eastAsia="Arial" w:hAnsi="Arial" w:cs="Arial"/>
          <w:color w:val="000000"/>
          <w:highlight w:val="green"/>
        </w:rPr>
        <w:t xml:space="preserve">El desarrollo, la adquisición y la adecuación del software de los SBIA se sujetan a las disposiciones y a los estándares técnicos sobre procesos del ciclo de vida </w:t>
      </w:r>
      <w:r w:rsidR="0045319E" w:rsidRPr="0045319E">
        <w:rPr>
          <w:rFonts w:ascii="Arial" w:eastAsia="Arial" w:hAnsi="Arial" w:cs="Arial"/>
          <w:color w:val="000000"/>
          <w:highlight w:val="green"/>
        </w:rPr>
        <w:lastRenderedPageBreak/>
        <w:t>del software aplicables a las entidades de la Administración Pública, conforme a la normatividad vigente.</w:t>
      </w:r>
      <w:r w:rsidRPr="0045319E">
        <w:rPr>
          <w:rStyle w:val="Refdenotaalpie"/>
          <w:highlight w:val="green"/>
        </w:rPr>
        <w:footnoteReference w:id="2"/>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093D0210"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El propietario del caso de uso define el alcance de las acciones autorizadas; la División de Arquitectura competente según la materia verifica su implementación antes del despliegue</w:t>
      </w:r>
      <w:r w:rsidR="00553A03">
        <w:rPr>
          <w:rFonts w:ascii="Arial" w:eastAsia="Arial" w:hAnsi="Arial" w:cs="Arial"/>
          <w:color w:val="000000"/>
          <w:highlight w:val="green"/>
        </w:rPr>
        <w:t>.</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5D615CB9" w:rsidR="005C3A70" w:rsidRDefault="005C3A70" w:rsidP="005C3A70">
      <w:pPr>
        <w:spacing w:after="60" w:line="276" w:lineRule="auto"/>
        <w:ind w:left="1276" w:hanging="720"/>
        <w:jc w:val="both"/>
        <w:rPr>
          <w:rFonts w:ascii="Arial" w:eastAsia="Arial" w:hAnsi="Arial" w:cs="Arial"/>
          <w:color w:val="000000"/>
        </w:rPr>
      </w:pPr>
      <w:r w:rsidRPr="001E0BE5">
        <w:rPr>
          <w:rFonts w:ascii="Arial" w:eastAsia="Arial" w:hAnsi="Arial" w:cs="Arial"/>
          <w:color w:val="000000"/>
          <w:highlight w:val="green"/>
        </w:rPr>
        <w:lastRenderedPageBreak/>
        <w:t xml:space="preserve">6.5.7   La publicación del código fuente de los SBIA financiados con fondos públicos, </w:t>
      </w:r>
      <w:r w:rsidR="001E0BE5" w:rsidRPr="001E0BE5">
        <w:rPr>
          <w:rFonts w:ascii="Arial" w:eastAsia="Arial" w:hAnsi="Arial" w:cs="Arial"/>
          <w:color w:val="000000"/>
          <w:highlight w:val="green"/>
        </w:rPr>
        <w:t>con licencia libre o abierta en la Plataforma Nacional de Software Público Peruano (PNSSP), prevista en el numeral 28.8 del artículo 28 del RLIA, se sujeta a la determinación previa de su publicabilidad.</w:t>
      </w:r>
      <w:r w:rsidR="001E0BE5">
        <w:rPr>
          <w:rFonts w:ascii="Arial" w:eastAsia="Arial" w:hAnsi="Arial" w:cs="Arial"/>
          <w:color w:val="000000"/>
        </w:rPr>
        <w:t xml:space="preserve"> </w:t>
      </w:r>
      <w:r w:rsidRPr="005C3A70">
        <w:rPr>
          <w:rFonts w:ascii="Arial" w:eastAsia="Arial" w:hAnsi="Arial" w:cs="Arial"/>
          <w:color w:val="000000"/>
          <w:highlight w:val="lightGray"/>
        </w:rPr>
        <w:t xml:space="preserve">Dicha determinación verifica que el código no revele información sujeta a reserva tributaria conforme al artículo 85 del TUO del Código Tributario, ni reglas de detección de riesgo cuya divulgación comprometa la función de control. </w:t>
      </w:r>
      <w:r w:rsidR="001E0BE5" w:rsidRPr="001E0BE5">
        <w:rPr>
          <w:rFonts w:ascii="Arial" w:eastAsia="Arial" w:hAnsi="Arial" w:cs="Arial"/>
          <w:color w:val="000000"/>
          <w:highlight w:val="green"/>
        </w:rPr>
        <w:t>La GA, con opinión de la INALI y de la Oficina de Seguridad Informática, determina la publicabilidad antes de cada liberación mayor y, en todo caso, con ocasión de la revisión integral anual del Inventario Institucional de SBIA prevista en el numeral 6.3.2; la GDS ejecuta la publicación cuando corresponda. La determinación y su resultado constan en la Ficha de Registro de SBIA (Anexo N.° 1) y, cuando el código no resulte publicable, se consigna igualmente la justificación legal de la restricción.</w:t>
      </w:r>
      <w:r w:rsidR="001E0BE5" w:rsidRPr="001E0BE5">
        <w:rPr>
          <w:rFonts w:ascii="Arial" w:eastAsia="Arial" w:hAnsi="Arial" w:cs="Arial"/>
          <w:color w:val="000000"/>
          <w:highlight w:val="green"/>
        </w:rPr>
        <w:t xml:space="preserve"> </w:t>
      </w:r>
      <w:r w:rsidR="000F31A1" w:rsidRPr="001E0BE5">
        <w:rPr>
          <w:rFonts w:ascii="Arial" w:eastAsia="Arial" w:hAnsi="Arial" w:cs="Arial"/>
          <w:color w:val="000000"/>
          <w:highlight w:val="green"/>
        </w:rPr>
        <w:t>Cu</w:t>
      </w:r>
      <w:r w:rsidR="000F31A1" w:rsidRPr="000F31A1">
        <w:rPr>
          <w:rFonts w:ascii="Arial" w:eastAsia="Arial" w:hAnsi="Arial" w:cs="Arial"/>
          <w:color w:val="000000"/>
          <w:highlight w:val="green"/>
        </w:rPr>
        <w:t>ando la determinación comprenda el sentido y el alcance de las normas tributarias o aduaneras, la INALI recaba la opinión de la Intendencia Nacional Jurídico Tributaria o de la Intendencia Nacional Jurídico Aduanera, según la materia.</w:t>
      </w:r>
    </w:p>
    <w:p w14:paraId="1268A681" w14:textId="4236F59F"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sidRPr="00D37B6E">
        <w:rPr>
          <w:rFonts w:ascii="Arial" w:eastAsia="Arial" w:hAnsi="Arial" w:cs="Arial"/>
          <w:color w:val="000000"/>
          <w:highlight w:val="green"/>
        </w:rPr>
        <w:t>6.6.1</w:t>
      </w:r>
      <w:r w:rsidRPr="00D37B6E">
        <w:rPr>
          <w:rFonts w:ascii="Arial" w:eastAsia="Arial" w:hAnsi="Arial" w:cs="Arial"/>
          <w:color w:val="000000"/>
          <w:highlight w:val="green"/>
        </w:rPr>
        <w:tab/>
      </w:r>
      <w:r w:rsidR="00D37B6E" w:rsidRPr="00D37B6E">
        <w:rPr>
          <w:rFonts w:ascii="Arial" w:eastAsia="Arial" w:hAnsi="Arial" w:cs="Arial"/>
          <w:color w:val="000000"/>
          <w:highlight w:val="green"/>
        </w:rPr>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 xml:space="preserve">Human-in-command (obligatorio para todos los SBIA): Un responsable designado por el propietario del caso de uso mantiene la capacidad de </w:t>
      </w:r>
      <w:r>
        <w:rPr>
          <w:b w:val="0"/>
          <w:bCs w:val="0"/>
          <w:color w:val="000000"/>
          <w:highlight w:val="yellow"/>
        </w:rPr>
        <w:lastRenderedPageBreak/>
        <w:t>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3"/>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sidRPr="001222E1">
        <w:rPr>
          <w:rFonts w:ascii="Arial" w:hAnsi="Arial" w:cs="Arial"/>
          <w:highlight w:val="green"/>
        </w:rPr>
        <w:t xml:space="preserve">Política </w:t>
      </w:r>
      <w:r w:rsidR="001222E1" w:rsidRPr="001222E1">
        <w:rPr>
          <w:rFonts w:ascii="Arial" w:hAnsi="Arial" w:cs="Arial"/>
          <w:highlight w:val="green"/>
        </w:rPr>
        <w:t>de IA</w:t>
      </w:r>
      <w:r w:rsidRPr="001222E1">
        <w:rPr>
          <w:rFonts w:ascii="Arial" w:eastAsia="Arial" w:hAnsi="Arial" w:cs="Arial"/>
          <w:color w:val="000000"/>
          <w:highlight w:val="green"/>
        </w:rPr>
        <w:t>.</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 xml:space="preserve">Los SBIA cumplen la Política de Seguridad de la Información (SGSI-PO-01) y el Manual de Políticas del Sistema de Gestión de Seguridad de la Información (SGSI-MA-03) de la SUNAT, en sus versiones vigentes, que </w:t>
      </w:r>
      <w:proofErr w:type="gramStart"/>
      <w:r w:rsidR="008776A6" w:rsidRPr="008776A6">
        <w:rPr>
          <w:rFonts w:ascii="Arial" w:eastAsia="Arial" w:hAnsi="Arial" w:cs="Arial"/>
          <w:color w:val="000000"/>
          <w:highlight w:val="green"/>
        </w:rPr>
        <w:t>son de aplicación</w:t>
      </w:r>
      <w:proofErr w:type="gramEnd"/>
      <w:r w:rsidR="008776A6" w:rsidRPr="008776A6">
        <w:rPr>
          <w:rFonts w:ascii="Arial" w:eastAsia="Arial" w:hAnsi="Arial" w:cs="Arial"/>
          <w:color w:val="000000"/>
          <w:highlight w:val="green"/>
        </w:rPr>
        <w:t xml:space="preserve">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0CE98CBE"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lastRenderedPageBreak/>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Para los SBIA de riesgo alto y para los SBIA de riesgo aceptable que interactúen directamente con el administrado, incorporen componentes generativos o procesen datos personales o información sujeta a reserva tributaria, se requiere como mínimo:</w:t>
      </w:r>
      <w:r w:rsidR="00CE10DF">
        <w:rPr>
          <w:rFonts w:ascii="Arial" w:eastAsia="Arial" w:hAnsi="Arial" w:cs="Arial"/>
          <w:color w:val="000000"/>
        </w:rPr>
        <w:t xml:space="preserve">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4"/>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5"/>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numeral 6.7.2 y la periodicidad de las pruebas de 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00366BA4">
        <w:rPr>
          <w:rFonts w:ascii="Arial" w:eastAsia="Arial" w:hAnsi="Arial" w:cs="Arial"/>
          <w:color w:val="000000"/>
          <w:highlight w:val="green"/>
        </w:rPr>
        <w:t xml:space="preserve">. Su </w:t>
      </w:r>
      <w:r w:rsidR="005D216F" w:rsidRPr="005D216F">
        <w:rPr>
          <w:rFonts w:ascii="Arial" w:eastAsia="Arial" w:hAnsi="Arial" w:cs="Arial"/>
          <w:color w:val="000000"/>
          <w:highlight w:val="green"/>
        </w:rPr>
        <w:t>aprobación se efectúa conforme al numeral 7.6.</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proofErr w:type="gramStart"/>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w:t>
      </w:r>
      <w:proofErr w:type="gramEnd"/>
      <w:r w:rsidR="00AF13D8" w:rsidRPr="00AF13D8">
        <w:rPr>
          <w:rFonts w:ascii="Arial" w:eastAsia="Arial" w:hAnsi="Arial" w:cs="Arial"/>
          <w:color w:val="000000"/>
          <w:highlight w:val="green"/>
        </w:rPr>
        <w:t xml:space="preserve">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infraestructura tecnológica en la que reside dicha 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6"/>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7"/>
      </w:r>
      <w:r>
        <w:rPr>
          <w:rFonts w:ascii="Arial" w:eastAsia="Arial" w:hAnsi="Arial" w:cs="Arial"/>
          <w:color w:val="000000"/>
          <w:highlight w:val="yellow"/>
        </w:rPr>
        <w:t xml:space="preserve"> y asegura su calidad e integridad</w:t>
      </w:r>
      <w:r>
        <w:rPr>
          <w:rStyle w:val="Refdenotaalpie"/>
        </w:rPr>
        <w:footnoteReference w:id="8"/>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 xml:space="preserve">El uso de datos protegidos por la reserva tributaria para el desarrollo, entrenamiento o validación de un SBIA requiere la determinación previa de su base legal, conforme al artículo 85 del TUO del Código Tributario. Los datos </w:t>
      </w:r>
      <w:r>
        <w:rPr>
          <w:rFonts w:ascii="Arial" w:eastAsia="Arial" w:hAnsi="Arial" w:cs="Arial"/>
          <w:color w:val="000000"/>
          <w:highlight w:val="yellow"/>
        </w:rPr>
        <w:lastRenderedPageBreak/>
        <w:t>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9"/>
      </w:r>
      <w:r>
        <w:rPr>
          <w:rFonts w:ascii="Arial" w:eastAsia="Arial" w:hAnsi="Arial" w:cs="Arial"/>
          <w:color w:val="000000"/>
          <w:highlight w:val="yellow"/>
        </w:rPr>
        <w:t>.</w:t>
      </w:r>
    </w:p>
    <w:p w14:paraId="3EFB2EA4" w14:textId="10629990"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28.7 del artículo 28 del Reglamento. La 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justificación legal de la restricción consta igualmente en el acuerdo del CGTD. 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sidRPr="00641EAF">
        <w:rPr>
          <w:rFonts w:ascii="Arial" w:eastAsia="Arial" w:hAnsi="Arial" w:cs="Arial"/>
          <w:color w:val="000000"/>
          <w:highlight w:val="green"/>
        </w:rPr>
        <w:t xml:space="preserve">6.8.6   </w:t>
      </w:r>
      <w:r w:rsidR="00641EAF" w:rsidRPr="00641EAF">
        <w:rPr>
          <w:rFonts w:ascii="Arial" w:eastAsia="Arial" w:hAnsi="Arial" w:cs="Arial"/>
          <w:color w:val="000000"/>
          <w:highlight w:val="green"/>
        </w:rPr>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0"/>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lastRenderedPageBreak/>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1CC91AE7"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El estado del gobierno de IA institucional se informa como sección del informe de seguimiento del Plan de Gobierno Digital que presenta el CGTD, con la periodicidad y por el conducto que dicho instrumento establece, en ejercicio de su responsabilidad de liderar, dirigir, evaluar y supervisar los proyectos de SBIA estratégicos.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6.9.7</w:t>
      </w:r>
      <w:r>
        <w:rPr>
          <w:rFonts w:ascii="Arial" w:eastAsia="Arial" w:hAnsi="Arial" w:cs="Arial"/>
          <w:color w:val="000000"/>
          <w:highlight w:val="yellow"/>
        </w:rPr>
        <w:tab/>
        <w:t>Los lineamientos sobre Transparencia Algorítmica que apruebe la SGTD</w:t>
      </w:r>
      <w:r>
        <w:rPr>
          <w:rStyle w:val="Refdenotaalpie"/>
        </w:rPr>
        <w:footnoteReference w:id="11"/>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77777777" w:rsidR="00975D3B" w:rsidRPr="00975D3B" w:rsidRDefault="00000000" w:rsidP="00975D3B">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sus umbrales y los responsables de la medición constan en el plan de monitoreo del SBIA, que se aprueba con anterioridad a su puesta en producción conforme al numeral 6.10.2.</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47F5FBA7"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 xml:space="preserve">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w:t>
      </w:r>
      <w:r>
        <w:rPr>
          <w:rFonts w:ascii="Arial" w:eastAsia="Arial" w:hAnsi="Arial" w:cs="Arial"/>
          <w:color w:val="000000"/>
          <w:highlight w:val="yellow"/>
        </w:rPr>
        <w:lastRenderedPageBreak/>
        <w:t>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3AC6A5E4" w:rsidR="00975D3B" w:rsidRDefault="00975D3B" w:rsidP="00532CB5">
      <w:pPr>
        <w:spacing w:after="0" w:line="276" w:lineRule="auto"/>
        <w:ind w:left="1276" w:hanging="709"/>
        <w:jc w:val="both"/>
        <w:rPr>
          <w:rFonts w:ascii="Arial" w:hAnsi="Arial" w:cs="Arial"/>
        </w:rPr>
      </w:pPr>
      <w:r w:rsidRPr="00975D3B">
        <w:rPr>
          <w:rFonts w:ascii="Arial" w:hAnsi="Arial" w:cs="Arial"/>
          <w:highlight w:val="green"/>
        </w:rPr>
        <w:t>6.10.6 El monitoreo comprende la detección del uso indebido del SBIA por parte de quienes lo operan o interactúan con él, con independencia del nivel de riesgo que tenga asignado. Constituyen indicios de uso indebido,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El tratamiento de los hallazgos se realiza conforme al numeral 6.7.5 y, cuando corresponda,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lastRenderedPageBreak/>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sidRPr="00554995">
        <w:rPr>
          <w:rFonts w:ascii="Arial" w:eastAsia="Arial" w:hAnsi="Arial" w:cs="Arial"/>
          <w:color w:val="000000"/>
          <w:highlight w:val="green"/>
        </w:rPr>
        <w:t>6.11.3</w:t>
      </w:r>
      <w:r w:rsidRPr="00554995">
        <w:rPr>
          <w:rFonts w:ascii="Arial" w:eastAsia="Arial" w:hAnsi="Arial" w:cs="Arial"/>
          <w:color w:val="000000"/>
          <w:highlight w:val="green"/>
        </w:rPr>
        <w:tab/>
      </w:r>
      <w:r w:rsidR="00554995" w:rsidRPr="00554995">
        <w:rPr>
          <w:rFonts w:ascii="Arial" w:eastAsia="Arial" w:hAnsi="Arial" w:cs="Arial"/>
          <w:color w:val="000000"/>
          <w:highlight w:val="green"/>
        </w:rPr>
        <w:t>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corresponde a la Gerencia de Arquitectura, conforme al literal c) del artículo 130 del ROF. Las unidades de organización los cumplen como condición para el despliegue de estos modelos. En tanto no se aprueben, el despliegue de estos modelos requiere la autorización previa de la Gerencia de Arquitectura y observa los controles del numeral 6.7.2</w:t>
      </w:r>
      <w:r w:rsidRPr="00554995">
        <w:rPr>
          <w:rFonts w:ascii="Arial" w:eastAsia="Arial" w:hAnsi="Arial" w:cs="Arial"/>
          <w:color w:val="000000"/>
          <w:highlight w:val="green"/>
        </w:rPr>
        <w:t xml:space="preserve">.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106A4EF" w14:textId="23E2D93F"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 xml:space="preserve">numeral 6.11.5 y con su inclusión en el catálogo institucional (numeral 6.11.2), </w:t>
      </w:r>
      <w:r w:rsidR="00454C03" w:rsidRPr="00454C03">
        <w:rPr>
          <w:rFonts w:ascii="Arial" w:eastAsia="Arial" w:hAnsi="Arial" w:cs="Arial"/>
          <w:color w:val="000000"/>
          <w:highlight w:val="green"/>
        </w:rPr>
        <w:lastRenderedPageBreak/>
        <w:t>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las herramientas de IA que figuran en dicho catálogo. La Comisión de Gobierno de IA promueve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 regularización mediante el registro y el acompañamiento proporcional a la unidad</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involucrada, y comunica al CGTD y, según corresponda, a la OII, los incumplimientos reiterados</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o que impliquen uso indebido.</w:t>
      </w:r>
    </w:p>
    <w:p w14:paraId="26F26301" w14:textId="0121082C"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149F2FFD"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0A225DA0"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r>
      <w:r w:rsidR="008B2BEE" w:rsidRPr="008B2BEE">
        <w:rPr>
          <w:rFonts w:ascii="Arial" w:eastAsia="Arial" w:hAnsi="Arial" w:cs="Arial"/>
          <w:color w:val="000000"/>
          <w:highlight w:val="green"/>
        </w:rPr>
        <w:t>Los contratos prohíben al proveedor emplear la información de la SUNAT (en particular la sujeta a reserva tributaria y los datos personales), las instrucciones que se le remitan y los resultados derivados de su tratamiento, para entrenar, ajustar o mejorar sus modelos o para cualquier fin propio</w:t>
      </w:r>
      <w:r w:rsidRPr="008B2BEE">
        <w:rPr>
          <w:rFonts w:ascii="Arial" w:eastAsia="Arial" w:hAnsi="Arial" w:cs="Arial"/>
          <w:color w:val="000000"/>
          <w:highlight w:val="green"/>
        </w:rPr>
        <w:t xml:space="preserve">, </w:t>
      </w:r>
      <w:r>
        <w:rPr>
          <w:rFonts w:ascii="Arial" w:eastAsia="Arial" w:hAnsi="Arial" w:cs="Arial"/>
          <w:color w:val="000000"/>
          <w:highlight w:val="yellow"/>
        </w:rPr>
        <w:t xml:space="preserve">en concordancia con el artículo 85 del Código Tributario, que extiende la obligación de reserva a quienes accedan a dicha información. La propiedad intelectual de los ajustes </w:t>
      </w:r>
      <w:r>
        <w:rPr>
          <w:rFonts w:ascii="Arial" w:eastAsia="Arial" w:hAnsi="Arial" w:cs="Arial"/>
          <w:color w:val="000000"/>
          <w:highlight w:val="yellow"/>
        </w:rPr>
        <w:lastRenderedPageBreak/>
        <w:t>(fine-tuning) realizados con información o para necesidades de la SUNAT corresponde a la SUNAT.</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sidRPr="00274362">
        <w:rPr>
          <w:rFonts w:ascii="Arial" w:eastAsia="Arial" w:hAnsi="Arial" w:cs="Arial"/>
          <w:color w:val="000000"/>
          <w:highlight w:val="green"/>
        </w:rPr>
        <w:t>6.12.5</w:t>
      </w:r>
      <w:r w:rsidRPr="00274362">
        <w:rPr>
          <w:rFonts w:ascii="Arial" w:eastAsia="Arial" w:hAnsi="Arial" w:cs="Arial"/>
          <w:color w:val="000000"/>
          <w:highlight w:val="green"/>
        </w:rPr>
        <w:tab/>
      </w:r>
      <w:r w:rsidR="00274362" w:rsidRPr="00274362">
        <w:rPr>
          <w:rFonts w:ascii="Arial" w:eastAsia="Arial" w:hAnsi="Arial" w:cs="Arial"/>
          <w:color w:val="000000"/>
          <w:highlight w:val="green"/>
        </w:rPr>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sidRPr="00641EAF">
        <w:rPr>
          <w:highlight w:val="green"/>
        </w:rPr>
        <w:t>6.13</w:t>
      </w:r>
      <w:r w:rsidRPr="00641EAF">
        <w:rPr>
          <w:highlight w:val="green"/>
        </w:rPr>
        <w:tab/>
      </w:r>
      <w:r w:rsidR="00641EAF" w:rsidRPr="00641EAF">
        <w:rPr>
          <w:highlight w:val="green"/>
        </w:rPr>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93B9300" w14:textId="77777777" w:rsidR="00641EAF"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 xml:space="preserve">Todo el personal de la SUNAT vinculado al diseño, desarrollo, implementación, evaluación o uso de sistemas basados en IA es sensibilizado respecto del uso seguro, responsable y ético de dichos sistemas, así como de los riesgos asociados y de las disposiciones establecidas en la </w:t>
      </w:r>
      <w:r w:rsidR="00641EAF" w:rsidRPr="00641EAF">
        <w:rPr>
          <w:rFonts w:ascii="Arial" w:eastAsia="Arial" w:hAnsi="Arial" w:cs="Arial"/>
          <w:color w:val="000000"/>
          <w:highlight w:val="lightGray"/>
        </w:rPr>
        <w:t>Política de IA</w:t>
      </w:r>
      <w:r w:rsidR="00641EAF">
        <w:rPr>
          <w:rFonts w:ascii="Arial" w:eastAsia="Arial" w:hAnsi="Arial" w:cs="Arial"/>
          <w:color w:val="000000"/>
          <w:highlight w:val="lightGray"/>
        </w:rPr>
        <w:t>.</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14E9264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establecido en el literal f) del artículo 7 del Reglamento,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necesidades de capacitación asociadas a los distintos roles, los contenidos formativos, las modalidades de capacitación y los mecanismos de evaluación </w:t>
      </w:r>
      <w:r w:rsidRPr="00833CDE">
        <w:rPr>
          <w:rFonts w:ascii="Arial" w:eastAsia="Arial" w:hAnsi="Arial" w:cs="Arial"/>
          <w:color w:val="000000"/>
          <w:highlight w:val="lightGray"/>
        </w:rPr>
        <w:lastRenderedPageBreak/>
        <w:t>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17A39E4D"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w:t>
      </w:r>
      <w:r w:rsidR="00641EAF">
        <w:rPr>
          <w:rFonts w:ascii="Arial" w:eastAsia="Arial" w:hAnsi="Arial" w:cs="Arial"/>
          <w:color w:val="000000"/>
          <w:highlight w:val="lightGray"/>
        </w:rPr>
        <w:t xml:space="preserve">de </w:t>
      </w:r>
      <w:r w:rsidR="00641EAF" w:rsidRPr="00641EAF">
        <w:rPr>
          <w:rFonts w:ascii="Arial" w:eastAsia="Arial" w:hAnsi="Arial" w:cs="Arial"/>
          <w:color w:val="000000"/>
          <w:highlight w:val="lightGray"/>
        </w:rPr>
        <w:t>la Política de IA y del sistema de gestión de IA</w:t>
      </w:r>
      <w:r w:rsidRPr="00833CDE">
        <w:rPr>
          <w:rFonts w:ascii="Arial" w:eastAsia="Arial" w:hAnsi="Arial" w:cs="Arial"/>
          <w:color w:val="000000"/>
          <w:highlight w:val="lightGray"/>
        </w:rPr>
        <w:t>,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2"/>
      </w:r>
      <w:r>
        <w:rPr>
          <w:rFonts w:ascii="Arial" w:eastAsia="Arial" w:hAnsi="Arial" w:cs="Arial"/>
          <w:color w:val="000000"/>
          <w:highlight w:val="yellow"/>
        </w:rPr>
        <w:t>.</w:t>
      </w:r>
    </w:p>
    <w:p w14:paraId="60F5B515" w14:textId="4FEE0E59"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Pr="00A402D8">
        <w:rPr>
          <w:rStyle w:val="Refdenotaalpie"/>
          <w:highlight w:val="green"/>
        </w:rPr>
        <w:footnoteReference w:id="13"/>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 xml:space="preserve">La OII supervisa en los SBIA el cumplimiento de los principios rectores establecidos en el artículo 7 del Reglamento y de los compromisos de la Política de </w:t>
      </w:r>
      <w:r w:rsidR="001222E1">
        <w:rPr>
          <w:rFonts w:ascii="Arial" w:eastAsia="Arial" w:hAnsi="Arial" w:cs="Arial"/>
          <w:color w:val="000000"/>
          <w:highlight w:val="green"/>
        </w:rPr>
        <w:t>IA</w:t>
      </w:r>
      <w:r w:rsidR="002555BF" w:rsidRPr="002555BF">
        <w:rPr>
          <w:rFonts w:ascii="Arial" w:eastAsia="Arial" w:hAnsi="Arial" w:cs="Arial"/>
          <w:color w:val="000000"/>
          <w:highlight w:val="green"/>
        </w:rPr>
        <w:t xml:space="preserve">; evalúa los riesgos de sesgo y discriminación </w:t>
      </w:r>
      <w:r w:rsidR="002555BF" w:rsidRPr="002555BF">
        <w:rPr>
          <w:rFonts w:ascii="Arial" w:eastAsia="Arial" w:hAnsi="Arial" w:cs="Arial"/>
          <w:color w:val="000000"/>
          <w:highlight w:val="green"/>
        </w:rPr>
        <w:lastRenderedPageBreak/>
        <w:t>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Esta disposición desarrolla el numeral 28.9 del artículo 28 del Reglamento.</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4"/>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w:t>
      </w:r>
      <w:r w:rsidR="006B7D44" w:rsidRPr="006B7D44">
        <w:rPr>
          <w:rFonts w:ascii="Arial" w:hAnsi="Arial" w:cs="Arial"/>
          <w:highlight w:val="green"/>
        </w:rPr>
        <w:t>Los controles aplicables se determinan a partir de la clasificación, conforme al numeral 6.2.5</w:t>
      </w:r>
      <w:r w:rsidR="006D44AB" w:rsidRPr="006D44AB">
        <w:rPr>
          <w:rFonts w:ascii="Arial" w:hAnsi="Arial" w:cs="Arial"/>
          <w:highlight w:val="green"/>
        </w:rPr>
        <w:t>.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sidRPr="00617198">
        <w:rPr>
          <w:b w:val="0"/>
          <w:bCs w:val="0"/>
          <w:highlight w:val="green"/>
        </w:rPr>
        <w:t>Favorable con condiciones, que identifica los controles que corresponden conforme al numeral 6.2.5 y cuya implementación se verifica en el hito de aprobación previo al despliegue, conforme al numeral 6.1.2</w:t>
      </w:r>
      <w:r w:rsidR="006D44AB" w:rsidRPr="00617198">
        <w:rPr>
          <w:b w:val="0"/>
          <w:bCs w:val="0"/>
          <w:highlight w:val="green"/>
        </w:rPr>
        <w:t xml:space="preserve">. </w:t>
      </w:r>
      <w:r w:rsidR="006D44AB" w:rsidRPr="006D44AB">
        <w:rPr>
          <w:b w:val="0"/>
          <w:bCs w:val="0"/>
          <w:highlight w:val="green"/>
        </w:rPr>
        <w:t>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No favorable, cuando el uso es indebido conforme al artículo 23 del RLIA, contraviene la Política de </w:t>
      </w:r>
      <w:r w:rsidR="001222E1">
        <w:rPr>
          <w:b w:val="0"/>
          <w:bCs w:val="0"/>
          <w:highlight w:val="green"/>
        </w:rPr>
        <w:t>IA</w:t>
      </w:r>
      <w:r w:rsidRPr="006D44AB">
        <w:rPr>
          <w:b w:val="0"/>
          <w:bCs w:val="0"/>
          <w:highlight w:val="green"/>
        </w:rPr>
        <w:t xml:space="preserve">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sidRPr="006B7D44">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w:t>
      </w:r>
      <w:r w:rsidRPr="006B7D44">
        <w:rPr>
          <w:rFonts w:ascii="Arial" w:hAnsi="Arial" w:cs="Arial"/>
          <w:highlight w:val="green"/>
        </w:rPr>
        <w:t xml:space="preserve"> </w:t>
      </w:r>
      <w:r w:rsidR="006D44AB" w:rsidRPr="006B7D44">
        <w:rPr>
          <w:rFonts w:ascii="Arial" w:hAnsi="Arial" w:cs="Arial"/>
          <w:highlight w:val="green"/>
        </w:rPr>
        <w:t xml:space="preserve">En </w:t>
      </w:r>
      <w:r w:rsidR="006D44AB" w:rsidRPr="006D44AB">
        <w:rPr>
          <w:rFonts w:ascii="Arial" w:hAnsi="Arial" w:cs="Arial"/>
          <w:highlight w:val="green"/>
        </w:rPr>
        <w:t xml:space="preserve">los demás casos la opinión sustenta la decisión, pero no la reemplaza. La aprobación corresponde, </w:t>
      </w:r>
      <w:r w:rsidR="006D44AB" w:rsidRPr="006D44AB">
        <w:rPr>
          <w:rFonts w:ascii="Arial" w:hAnsi="Arial" w:cs="Arial"/>
          <w:highlight w:val="green"/>
        </w:rPr>
        <w:lastRenderedPageBreak/>
        <w:t>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 xml:space="preserve">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w:t>
      </w:r>
      <w:r w:rsidRPr="002D136C">
        <w:rPr>
          <w:rFonts w:ascii="Arial" w:hAnsi="Arial" w:cs="Arial"/>
          <w:highlight w:val="lightGray"/>
        </w:rPr>
        <w:lastRenderedPageBreak/>
        <w:t>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 xml:space="preserve">Gobierno de IA, conforme al numeral 7.6. Esta incorporación alcanza al Modelo de </w:t>
      </w:r>
      <w:r w:rsidR="00950EB9">
        <w:rPr>
          <w:rFonts w:ascii="Arial" w:hAnsi="Arial" w:cs="Arial"/>
          <w:highlight w:val="green"/>
        </w:rPr>
        <w:t>Gobernabilidad</w:t>
      </w:r>
      <w:r w:rsidR="00EF2B54" w:rsidRPr="00EF2B54">
        <w:rPr>
          <w:rFonts w:ascii="Arial" w:hAnsi="Arial" w:cs="Arial"/>
          <w:highlight w:val="green"/>
        </w:rPr>
        <w:t xml:space="preserve"> de</w:t>
      </w:r>
      <w:r w:rsidR="00EF2B54" w:rsidRPr="00EF2B54">
        <w:rPr>
          <w:rFonts w:ascii="Arial" w:hAnsi="Arial" w:cs="Arial"/>
          <w:highlight w:val="green"/>
        </w:rPr>
        <w:t xml:space="preserve"> </w:t>
      </w:r>
      <w:r w:rsidR="00F36D39">
        <w:rPr>
          <w:rFonts w:ascii="Arial" w:hAnsi="Arial" w:cs="Arial"/>
          <w:highlight w:val="green"/>
        </w:rPr>
        <w:t>Programas</w:t>
      </w:r>
      <w:r w:rsidR="00EF2B54" w:rsidRPr="00EF2B54">
        <w:rPr>
          <w:rFonts w:ascii="Arial" w:hAnsi="Arial" w:cs="Arial"/>
          <w:highlight w:val="green"/>
        </w:rPr>
        <w:t xml:space="preserve"> y </w:t>
      </w:r>
      <w:r w:rsidR="00F36D39">
        <w:rPr>
          <w:rFonts w:ascii="Arial" w:hAnsi="Arial" w:cs="Arial"/>
          <w:highlight w:val="green"/>
        </w:rPr>
        <w:t>Proyectos</w:t>
      </w:r>
      <w:r w:rsidR="00EF2B54" w:rsidRPr="00EF2B54">
        <w:rPr>
          <w:rFonts w:ascii="Arial" w:hAnsi="Arial" w:cs="Arial"/>
          <w:highlight w:val="green"/>
        </w:rPr>
        <w:t xml:space="preserve">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0E4C9FB1" w:rsidR="00CB040E" w:rsidRPr="0094125C" w:rsidRDefault="00CB040E" w:rsidP="00180A95">
      <w:pPr>
        <w:pStyle w:val="SubtituloDONI"/>
        <w:spacing w:line="276" w:lineRule="auto"/>
        <w:ind w:left="851"/>
        <w:rPr>
          <w:b w:val="0"/>
          <w:bCs w:val="0"/>
          <w:highlight w:val="green"/>
        </w:rPr>
      </w:pPr>
      <w:r w:rsidRPr="0094125C">
        <w:rPr>
          <w:b w:val="0"/>
          <w:bCs w:val="0"/>
          <w:highlight w:val="green"/>
        </w:rPr>
        <w:t>7.4</w:t>
      </w:r>
      <w:r w:rsidRPr="0094125C">
        <w:rPr>
          <w:b w:val="0"/>
          <w:bCs w:val="0"/>
          <w:highlight w:val="green"/>
        </w:rPr>
        <w:tab/>
      </w:r>
      <w:r w:rsidR="0094125C" w:rsidRPr="0094125C">
        <w:rPr>
          <w:b w:val="0"/>
          <w:bCs w:val="0"/>
          <w:highlight w:val="green"/>
        </w:rPr>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sidRPr="00DF4730">
        <w:rPr>
          <w:b w:val="0"/>
          <w:bCs w:val="0"/>
          <w:color w:val="000000"/>
          <w:highlight w:val="green"/>
        </w:rPr>
        <w:t>7.6</w:t>
      </w:r>
      <w:r w:rsidRPr="00DF4730">
        <w:rPr>
          <w:color w:val="000000"/>
          <w:highlight w:val="green"/>
        </w:rPr>
        <w:tab/>
      </w:r>
      <w:r w:rsidR="00DF4730" w:rsidRPr="00DF4730">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sidR="00DF4730">
        <w:rPr>
          <w:b w:val="0"/>
          <w:bCs w:val="0"/>
          <w:color w:val="000000"/>
        </w:rPr>
        <w:t xml:space="preserve">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DF4730" w:rsidRPr="00DF4730">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sidR="006C344B" w:rsidRPr="00DF4730">
        <w:rPr>
          <w:b w:val="0"/>
          <w:bCs w:val="0"/>
          <w:color w:val="000000"/>
          <w:highlight w:val="green"/>
        </w:rPr>
        <w:t>.</w:t>
      </w:r>
      <w:r w:rsidR="006C344B" w:rsidRPr="00DF4730">
        <w:rPr>
          <w:rFonts w:asciiTheme="minorHAnsi" w:eastAsiaTheme="minorEastAsia" w:hAnsiTheme="minorHAnsi" w:cstheme="minorBidi"/>
          <w:b w:val="0"/>
          <w:bCs w:val="0"/>
          <w:highlight w:val="gree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w:t>
      </w:r>
      <w:r>
        <w:rPr>
          <w:b w:val="0"/>
          <w:bCs w:val="0"/>
          <w:highlight w:val="yellow"/>
        </w:rPr>
        <w:lastRenderedPageBreak/>
        <w:t xml:space="preserve">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234A85E7" w:rsidR="00863A18" w:rsidRPr="00923C59" w:rsidRDefault="00641EAF" w:rsidP="00B23382">
      <w:pPr>
        <w:spacing w:before="200" w:after="120" w:line="276" w:lineRule="auto"/>
        <w:rPr>
          <w:rFonts w:ascii="Arial" w:hAnsi="Arial" w:cs="Arial"/>
        </w:rPr>
      </w:pPr>
      <w:r w:rsidRPr="00641EAF">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sidRPr="00641EAF">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6709E319" w:rsidR="00863A18" w:rsidRPr="00EC21E7" w:rsidRDefault="00EC21E7" w:rsidP="00B23382">
      <w:pPr>
        <w:pStyle w:val="Prrafodelista"/>
        <w:numPr>
          <w:ilvl w:val="0"/>
          <w:numId w:val="7"/>
        </w:numPr>
        <w:spacing w:after="40" w:line="276" w:lineRule="auto"/>
        <w:ind w:left="567"/>
        <w:rPr>
          <w:b w:val="0"/>
          <w:bCs w:val="0"/>
        </w:rPr>
      </w:pPr>
      <w:r w:rsidRPr="00EC21E7">
        <w:rPr>
          <w:b w:val="0"/>
          <w:bCs w:val="0"/>
          <w:color w:val="000000"/>
        </w:rPr>
        <w:t>Revisiones y aprobación: firmas del propietario del caso de uso, de la Comisión de Gobierno de IA, de la OII y de la INALI, en señal de revisión conforme al numeral 6.4.2; y referencia al acuerdo del CGTD que aprueba la EIA, conforme al numeral 6.4.1.</w:t>
      </w:r>
      <w:r w:rsidR="00863A18" w:rsidRPr="00EC21E7">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44132" w14:textId="77777777" w:rsidR="00B6280D" w:rsidRDefault="00B6280D">
      <w:pPr>
        <w:spacing w:after="0" w:line="240" w:lineRule="auto"/>
      </w:pPr>
      <w:r>
        <w:separator/>
      </w:r>
    </w:p>
  </w:endnote>
  <w:endnote w:type="continuationSeparator" w:id="0">
    <w:p w14:paraId="77F5C034" w14:textId="77777777" w:rsidR="00B6280D" w:rsidRDefault="00B62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907AE" w14:textId="77777777" w:rsidR="00B6280D" w:rsidRDefault="00B6280D">
      <w:pPr>
        <w:spacing w:after="0" w:line="240" w:lineRule="auto"/>
      </w:pPr>
      <w:r>
        <w:separator/>
      </w:r>
    </w:p>
  </w:footnote>
  <w:footnote w:type="continuationSeparator" w:id="0">
    <w:p w14:paraId="26E681A4" w14:textId="77777777" w:rsidR="00B6280D" w:rsidRDefault="00B6280D">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3">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4">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5">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6">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7">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8">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9">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0">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1">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2">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3">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4">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74362"/>
    <w:rsid w:val="00275B9B"/>
    <w:rsid w:val="002840F0"/>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2D87"/>
    <w:rsid w:val="003530CE"/>
    <w:rsid w:val="003636BC"/>
    <w:rsid w:val="003665C6"/>
    <w:rsid w:val="00366BA4"/>
    <w:rsid w:val="003758C8"/>
    <w:rsid w:val="003922D5"/>
    <w:rsid w:val="003A6AB9"/>
    <w:rsid w:val="003A7976"/>
    <w:rsid w:val="003B242A"/>
    <w:rsid w:val="003B6E7C"/>
    <w:rsid w:val="003B7D61"/>
    <w:rsid w:val="003C1E3F"/>
    <w:rsid w:val="003E2526"/>
    <w:rsid w:val="003E4730"/>
    <w:rsid w:val="003F591A"/>
    <w:rsid w:val="00444444"/>
    <w:rsid w:val="004503ED"/>
    <w:rsid w:val="0045319E"/>
    <w:rsid w:val="00454C03"/>
    <w:rsid w:val="00462A57"/>
    <w:rsid w:val="00463CDC"/>
    <w:rsid w:val="00467C46"/>
    <w:rsid w:val="0047575A"/>
    <w:rsid w:val="00485890"/>
    <w:rsid w:val="004A50A6"/>
    <w:rsid w:val="004A6881"/>
    <w:rsid w:val="004B3330"/>
    <w:rsid w:val="004C17C6"/>
    <w:rsid w:val="004C4F5D"/>
    <w:rsid w:val="004C7B15"/>
    <w:rsid w:val="004D01A4"/>
    <w:rsid w:val="004E204E"/>
    <w:rsid w:val="004F49BB"/>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C78"/>
    <w:rsid w:val="00570612"/>
    <w:rsid w:val="00577C4C"/>
    <w:rsid w:val="00590BAB"/>
    <w:rsid w:val="00594919"/>
    <w:rsid w:val="005B30EE"/>
    <w:rsid w:val="005C3A70"/>
    <w:rsid w:val="005C4042"/>
    <w:rsid w:val="005C67EA"/>
    <w:rsid w:val="005D216F"/>
    <w:rsid w:val="005D5880"/>
    <w:rsid w:val="005D754C"/>
    <w:rsid w:val="005F24C2"/>
    <w:rsid w:val="005F3265"/>
    <w:rsid w:val="0060099A"/>
    <w:rsid w:val="00603B7D"/>
    <w:rsid w:val="00617198"/>
    <w:rsid w:val="00641EAF"/>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4F40"/>
    <w:rsid w:val="007D181A"/>
    <w:rsid w:val="007F4CB9"/>
    <w:rsid w:val="0080359D"/>
    <w:rsid w:val="00807C98"/>
    <w:rsid w:val="0081311B"/>
    <w:rsid w:val="00814A4B"/>
    <w:rsid w:val="008326EA"/>
    <w:rsid w:val="00833450"/>
    <w:rsid w:val="00833CDE"/>
    <w:rsid w:val="00834FE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80D"/>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23E72"/>
    <w:rsid w:val="00C34A71"/>
    <w:rsid w:val="00C47FC1"/>
    <w:rsid w:val="00C5632E"/>
    <w:rsid w:val="00C5723D"/>
    <w:rsid w:val="00C603B3"/>
    <w:rsid w:val="00C66B57"/>
    <w:rsid w:val="00C71A9A"/>
    <w:rsid w:val="00C733EA"/>
    <w:rsid w:val="00C736D9"/>
    <w:rsid w:val="00C77327"/>
    <w:rsid w:val="00C817F2"/>
    <w:rsid w:val="00C868D8"/>
    <w:rsid w:val="00C93D4C"/>
    <w:rsid w:val="00CA521D"/>
    <w:rsid w:val="00CB040E"/>
    <w:rsid w:val="00CC6721"/>
    <w:rsid w:val="00CD5098"/>
    <w:rsid w:val="00CD5536"/>
    <w:rsid w:val="00CE10DF"/>
    <w:rsid w:val="00CE3C2A"/>
    <w:rsid w:val="00CE6C00"/>
    <w:rsid w:val="00CF07E5"/>
    <w:rsid w:val="00CF1187"/>
    <w:rsid w:val="00CF4842"/>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67A73"/>
    <w:rsid w:val="00E75696"/>
    <w:rsid w:val="00E810C0"/>
    <w:rsid w:val="00E87621"/>
    <w:rsid w:val="00E9145B"/>
    <w:rsid w:val="00E950CF"/>
    <w:rsid w:val="00EB62D4"/>
    <w:rsid w:val="00EC1C5F"/>
    <w:rsid w:val="00EC21E7"/>
    <w:rsid w:val="00EC2CB2"/>
    <w:rsid w:val="00ED2DC8"/>
    <w:rsid w:val="00ED3F92"/>
    <w:rsid w:val="00ED522E"/>
    <w:rsid w:val="00EE0817"/>
    <w:rsid w:val="00EF2B54"/>
    <w:rsid w:val="00EF6D32"/>
    <w:rsid w:val="00F0082B"/>
    <w:rsid w:val="00F0441E"/>
    <w:rsid w:val="00F12B33"/>
    <w:rsid w:val="00F2135B"/>
    <w:rsid w:val="00F2227C"/>
    <w:rsid w:val="00F33348"/>
    <w:rsid w:val="00F36D39"/>
    <w:rsid w:val="00F378B6"/>
    <w:rsid w:val="00F4172E"/>
    <w:rsid w:val="00F45DDD"/>
    <w:rsid w:val="00F80506"/>
    <w:rsid w:val="00F9075F"/>
    <w:rsid w:val="00F91DE2"/>
    <w:rsid w:val="00F931FB"/>
    <w:rsid w:val="00F936FD"/>
    <w:rsid w:val="00FA09F7"/>
    <w:rsid w:val="00FA4DEA"/>
    <w:rsid w:val="00FA5FEB"/>
    <w:rsid w:val="00FB439A"/>
    <w:rsid w:val="00FB7434"/>
    <w:rsid w:val="00FC0075"/>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9192</TotalTime>
  <Pages>46</Pages>
  <Words>15532</Words>
  <Characters>85430</Characters>
  <Application>Microsoft Office Word</Application>
  <DocSecurity>0</DocSecurity>
  <Lines>711</Lines>
  <Paragraphs>201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225</cp:revision>
  <dcterms:created xsi:type="dcterms:W3CDTF">2026-03-23T21:09:00Z</dcterms:created>
  <dcterms:modified xsi:type="dcterms:W3CDTF">2026-08-27T15:56:00Z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