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28D9451F"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Se distingue del custodio técnico, a cargo de la arquitectura y la operación del SBIA.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lastRenderedPageBreak/>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50CF38CB" w14:textId="13D58962" w:rsidR="00DE4308" w:rsidRPr="00DE4308" w:rsidRDefault="00DE4308" w:rsidP="00DE4308">
            <w:pPr>
              <w:pStyle w:val="Prrafodelista"/>
              <w:numPr>
                <w:ilvl w:val="0"/>
                <w:numId w:val="13"/>
              </w:numPr>
              <w:spacing w:after="60" w:line="276" w:lineRule="auto"/>
              <w:ind w:left="269" w:hanging="269"/>
              <w:jc w:val="left"/>
              <w:rPr>
                <w:b w:val="0"/>
                <w:bCs w:val="0"/>
                <w:highlight w:val="green"/>
              </w:rPr>
            </w:pPr>
            <w:r w:rsidRPr="00DE4308">
              <w:rPr>
                <w:b w:val="0"/>
                <w:bCs w:val="0"/>
                <w:highlight w:val="green"/>
              </w:rPr>
              <w:t>Proponer la clasificación de riesgo de cada SBIA, previo al inicio del desarrollo o</w:t>
            </w:r>
            <w:r w:rsidRPr="00DE4308">
              <w:rPr>
                <w:b w:val="0"/>
                <w:bCs w:val="0"/>
                <w:highlight w:val="green"/>
              </w:rPr>
              <w:t xml:space="preserve"> </w:t>
            </w:r>
            <w:r w:rsidRPr="00DE4308">
              <w:rPr>
                <w:b w:val="0"/>
                <w:bCs w:val="0"/>
                <w:highlight w:val="green"/>
              </w:rPr>
              <w:t>adquisición; su aprobación corresponde conforme al numeral 6.2.2.</w:t>
            </w:r>
          </w:p>
          <w:p w14:paraId="7AA16B7C" w14:textId="1B1A08C5"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 xml:space="preserve">Proponer lineamientos técnicos complementarios en materia de </w:t>
            </w:r>
            <w:r w:rsidRPr="008E63B0">
              <w:rPr>
                <w:b w:val="0"/>
                <w:bCs w:val="0"/>
              </w:rPr>
              <w:lastRenderedPageBreak/>
              <w:t>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Actúa como enlace con la Autoridad Nacional de Protección de Datos Personales. Emite opinión sobre el </w:t>
            </w:r>
            <w:r>
              <w:rPr>
                <w:b w:val="0"/>
                <w:bCs w:val="0"/>
                <w:color w:val="000000"/>
                <w:highlight w:val="yellow"/>
              </w:rPr>
              <w:lastRenderedPageBreak/>
              <w:t>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conocimiento operativo de los </w:t>
            </w:r>
            <w:r w:rsidRPr="005B30EE">
              <w:rPr>
                <w:b w:val="0"/>
                <w:bCs w:val="0"/>
                <w:highlight w:val="lightGray"/>
              </w:rPr>
              <w:lastRenderedPageBreak/>
              <w:t>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BC999" w14:textId="77777777" w:rsidR="00DE4308" w:rsidRPr="00DE4308" w:rsidRDefault="00DE4308" w:rsidP="00DE4308">
            <w:pPr>
              <w:spacing w:before="20" w:after="20" w:line="276" w:lineRule="auto"/>
              <w:rPr>
                <w:rFonts w:ascii="Arial" w:eastAsia="Arial" w:hAnsi="Arial" w:cs="Arial"/>
                <w:highlight w:val="green"/>
              </w:rPr>
            </w:pPr>
            <w:r w:rsidRPr="00DE4308">
              <w:rPr>
                <w:rFonts w:ascii="Arial" w:eastAsia="Arial" w:hAnsi="Arial" w:cs="Arial"/>
                <w:highlight w:val="green"/>
              </w:rPr>
              <w:t>La Comisión de Gobierno de IA coordina la evaluación técnica, legal, ética y operativa</w:t>
            </w:r>
          </w:p>
          <w:p w14:paraId="447AE5C9" w14:textId="4EB1C7C6" w:rsidR="00E67A73" w:rsidRPr="00DE4308" w:rsidRDefault="00DE4308" w:rsidP="00DE4308">
            <w:pPr>
              <w:spacing w:before="20" w:after="20" w:line="276" w:lineRule="auto"/>
              <w:rPr>
                <w:rFonts w:ascii="Arial" w:hAnsi="Arial" w:cs="Arial"/>
                <w:highlight w:val="green"/>
              </w:rPr>
            </w:pPr>
            <w:r w:rsidRPr="00DE4308">
              <w:rPr>
                <w:rFonts w:ascii="Arial" w:eastAsia="Arial" w:hAnsi="Arial" w:cs="Arial"/>
                <w:highlight w:val="green"/>
              </w:rPr>
              <w:t>del componente de IA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608267C7" w:rsidR="00E67A73" w:rsidRPr="00DE4308" w:rsidRDefault="00DE4308">
            <w:pPr>
              <w:spacing w:before="20" w:after="20" w:line="276" w:lineRule="auto"/>
              <w:rPr>
                <w:rFonts w:ascii="Arial" w:hAnsi="Arial" w:cs="Arial"/>
                <w:highlight w:val="green"/>
              </w:rPr>
            </w:pPr>
            <w:r w:rsidRPr="00DE4308">
              <w:rPr>
                <w:rFonts w:ascii="Arial" w:eastAsia="Arial" w:hAnsi="Arial" w:cs="Arial"/>
                <w:highlight w:val="green"/>
              </w:rPr>
              <w:t>Aprobación de la clasificación de riesgo, 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088EA22D" w:rsidR="00E67A73" w:rsidRDefault="00236A5F">
            <w:pPr>
              <w:spacing w:before="20" w:after="20" w:line="276" w:lineRule="auto"/>
              <w:rPr>
                <w:rFonts w:ascii="Arial" w:hAnsi="Arial" w:cs="Arial"/>
              </w:rPr>
            </w:pPr>
            <w:r w:rsidRPr="00236A5F">
              <w:rPr>
                <w:rFonts w:ascii="Arial" w:eastAsia="Arial" w:hAnsi="Arial" w:cs="Arial"/>
                <w:highlight w:val="green"/>
              </w:rPr>
              <w:t>La Gerencia de Calidad de Sistemas conduce las pruebas de verificación y validación de calidad.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Gerencia de Calidad de Sistemas,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w:t>
      </w:r>
      <w:r w:rsidR="00166F8B" w:rsidRPr="00166F8B">
        <w:rPr>
          <w:rFonts w:ascii="Arial" w:hAnsi="Arial" w:cs="Arial"/>
          <w:color w:val="000000"/>
          <w:highlight w:val="lightGray"/>
        </w:rPr>
        <w:lastRenderedPageBreak/>
        <w:t xml:space="preserve">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 xml:space="preserve">obligatoria, el pronunciamiento no favorable de la Comisión de </w:t>
      </w:r>
      <w:r w:rsidR="00DE4308" w:rsidRPr="00DE4308">
        <w:rPr>
          <w:rFonts w:ascii="Arial" w:eastAsia="Arial" w:hAnsi="Arial" w:cs="Arial"/>
          <w:color w:val="000000"/>
          <w:highlight w:val="green"/>
        </w:rPr>
        <w:lastRenderedPageBreak/>
        <w:t>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702F3BB6" w14:textId="77777777" w:rsidR="003173B4" w:rsidRDefault="003173B4">
      <w:pPr>
        <w:spacing w:after="60" w:line="276" w:lineRule="auto"/>
        <w:ind w:left="1276" w:hanging="720"/>
        <w:jc w:val="both"/>
        <w:rPr>
          <w:rFonts w:ascii="Arial" w:eastAsia="Arial" w:hAnsi="Arial" w:cs="Arial"/>
          <w:color w:val="000000"/>
        </w:rPr>
      </w:pPr>
    </w:p>
    <w:p w14:paraId="68E5DD70" w14:textId="77777777" w:rsidR="003173B4" w:rsidRDefault="003173B4">
      <w:pPr>
        <w:spacing w:after="60" w:line="276" w:lineRule="auto"/>
        <w:ind w:left="1276" w:hanging="720"/>
        <w:jc w:val="both"/>
        <w:rPr>
          <w:rFonts w:ascii="Arial" w:eastAsia="Arial" w:hAnsi="Arial" w:cs="Arial"/>
          <w:color w:val="000000"/>
        </w:rPr>
      </w:pPr>
    </w:p>
    <w:p w14:paraId="50C4F27F" w14:textId="77777777" w:rsidR="003173B4" w:rsidRDefault="003173B4">
      <w:pPr>
        <w:spacing w:after="60" w:line="276" w:lineRule="auto"/>
        <w:ind w:left="1276" w:hanging="720"/>
        <w:jc w:val="both"/>
        <w:rPr>
          <w:rFonts w:ascii="Arial" w:eastAsia="Arial" w:hAnsi="Arial" w:cs="Arial"/>
          <w:color w:val="000000"/>
        </w:rPr>
      </w:pPr>
    </w:p>
    <w:p w14:paraId="10B564C8" w14:textId="77777777" w:rsidR="003173B4" w:rsidRDefault="003173B4">
      <w:pPr>
        <w:spacing w:after="60" w:line="276" w:lineRule="auto"/>
        <w:ind w:left="1276" w:hanging="720"/>
        <w:jc w:val="both"/>
        <w:rPr>
          <w:rFonts w:ascii="Arial" w:eastAsia="Arial" w:hAnsi="Arial" w:cs="Arial"/>
          <w:color w:val="000000"/>
        </w:rPr>
      </w:pP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3AAF5974"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7887CA88"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lastRenderedPageBreak/>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1268A681" w14:textId="3AD9FAD8"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que aprueba la GA conforme al numeral 6.5.4, y sus criterios técnicos se desarrollan conforme al numeral 6.5.3.</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 xml:space="preserve">Human-in-command (obligatorio para todos los SBIA): Un responsable designado por el propietario del caso de uso mantiene la capacidad de </w:t>
      </w:r>
      <w:r>
        <w:rPr>
          <w:b w:val="0"/>
          <w:bCs w:val="0"/>
          <w:color w:val="000000"/>
          <w:highlight w:val="yellow"/>
        </w:rPr>
        <w:lastRenderedPageBreak/>
        <w:t>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4159C88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47E0D95"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 xml:space="preserve">El Oficial de Datos Personales (ODP) asegura que en el desarrollo, la implementación y el uso de los SBIA se realice un tratamiento adecuado de los </w:t>
      </w:r>
      <w:r>
        <w:rPr>
          <w:rFonts w:ascii="Arial" w:eastAsia="Arial" w:hAnsi="Arial" w:cs="Arial"/>
          <w:color w:val="000000"/>
          <w:highlight w:val="yellow"/>
        </w:rPr>
        <w:lastRenderedPageBreak/>
        <w:t>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76FB71CA" w14:textId="52B6E102" w:rsidR="003173B4" w:rsidRDefault="003173B4" w:rsidP="0084436F">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6.7.8 Los SBIA definen el tratamiento de conservación y eliminación de las instrucciones (</w:t>
      </w:r>
      <w:r w:rsidRPr="003173B4">
        <w:rPr>
          <w:rFonts w:ascii="Arial" w:eastAsia="Arial" w:hAnsi="Arial" w:cs="Arial"/>
          <w:color w:val="000000"/>
          <w:highlight w:val="green"/>
        </w:rPr>
        <w:t>prompt</w:t>
      </w:r>
      <w:r w:rsidRPr="003173B4">
        <w:rPr>
          <w:rFonts w:ascii="Arial" w:eastAsia="Arial" w:hAnsi="Arial" w:cs="Arial"/>
          <w:color w:val="000000"/>
          <w:highlight w:val="green"/>
        </w:rPr>
        <w:t>), respuestas, contextos, representaciones vectoriales (embeddings), registros de interacción y demás información que generen o procesen durante su operación. El plazo de conservación se determina en función del nivel de riesgo del SBIA, del valor probatorio de la información, de su sensibilidad y de los requisitos de auditoría aplicables, y observa las restricciones derivadas de la reserva tributaria conforme al artículo 85 del TUO del Código Tributario y de la normativa sobre protección de datos personales. Los plazos aplicables se establecen en el documento normativo del numeral 6.7.7. El respaldo 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17C09B89"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sidR="00236A5F">
        <w:rPr>
          <w:b w:val="0"/>
          <w:bCs w:val="0"/>
          <w:color w:val="000000"/>
          <w:highlight w:val="yellow"/>
        </w:rPr>
        <w:t>contin</w:t>
      </w:r>
      <w:r w:rsidR="001F1383">
        <w:rPr>
          <w:b w:val="0"/>
          <w:bCs w:val="0"/>
          <w:color w:val="000000"/>
          <w:highlight w:val="yellow"/>
        </w:rPr>
        <w:t>uo</w:t>
      </w:r>
      <w:proofErr w:type="gramEnd"/>
      <w:r w:rsidR="001F1383">
        <w:rPr>
          <w:b w:val="0"/>
          <w:bCs w:val="0"/>
          <w:color w:val="000000"/>
          <w:highlight w:val="yellow"/>
        </w:rPr>
        <w:t xml:space="preserve"> </w:t>
      </w:r>
      <w:r>
        <w:rPr>
          <w:b w:val="0"/>
          <w:bCs w:val="0"/>
          <w:color w:val="000000"/>
          <w:highlight w:val="yellow"/>
        </w:rPr>
        <w:t>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05990822" w14:textId="77777777" w:rsidR="003173B4" w:rsidRDefault="003173B4">
      <w:pPr>
        <w:spacing w:after="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0ABBB77"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w:t>
      </w:r>
      <w:r w:rsidRPr="00D950D6">
        <w:rPr>
          <w:rFonts w:ascii="Arial" w:eastAsia="Arial" w:hAnsi="Arial" w:cs="Arial"/>
          <w:color w:val="000000"/>
          <w:highlight w:val="green"/>
        </w:rPr>
        <w:lastRenderedPageBreak/>
        <w:t xml:space="preserve">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y el red teaming previstos en el numeral 6.7.2, con anterioridad a la implementación del SBIA y con la periodicidad prevista en el mismo numeral,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w:t>
      </w:r>
      <w:r w:rsidRPr="003173B4">
        <w:rPr>
          <w:rFonts w:ascii="Arial" w:eastAsia="Arial" w:hAnsi="Arial" w:cs="Arial"/>
          <w:color w:val="000000"/>
          <w:highlight w:val="green"/>
        </w:rPr>
        <w:lastRenderedPageBreak/>
        <w:t xml:space="preserve">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 xml:space="preserve">En el desarrollo, la implementación y el uso de los SBIA, la SUNAT promueve la participación de equipos diversos y multidisciplinarios, garantiza el pleno respeto de los derechos humanos y evita que se generen resultados injustos o </w:t>
      </w:r>
      <w:r>
        <w:rPr>
          <w:rFonts w:ascii="Arial" w:eastAsia="Arial" w:hAnsi="Arial" w:cs="Arial"/>
          <w:color w:val="000000"/>
          <w:highlight w:val="yellow"/>
        </w:rPr>
        <w:lastRenderedPageBreak/>
        <w:t>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Favorable con condiciones, que identifica los controles que la clasificación de riesgo determina y cuya implementación se verifica en el hito de </w:t>
      </w:r>
      <w:r w:rsidRPr="006D44AB">
        <w:rPr>
          <w:b w:val="0"/>
          <w:bCs w:val="0"/>
          <w:highlight w:val="green"/>
        </w:rPr>
        <w:lastRenderedPageBreak/>
        <w:t>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2CBF5" w14:textId="77777777" w:rsidR="00A45525" w:rsidRDefault="00A45525">
      <w:pPr>
        <w:spacing w:after="0" w:line="240" w:lineRule="auto"/>
      </w:pPr>
      <w:r>
        <w:separator/>
      </w:r>
    </w:p>
  </w:endnote>
  <w:endnote w:type="continuationSeparator" w:id="0">
    <w:p w14:paraId="4532754E" w14:textId="77777777" w:rsidR="00A45525" w:rsidRDefault="00A455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1BFF0" w14:textId="77777777" w:rsidR="00A45525" w:rsidRDefault="00A45525">
      <w:pPr>
        <w:spacing w:after="0" w:line="240" w:lineRule="auto"/>
      </w:pPr>
      <w:r>
        <w:separator/>
      </w:r>
    </w:p>
  </w:footnote>
  <w:footnote w:type="continuationSeparator" w:id="0">
    <w:p w14:paraId="0A67F3F0" w14:textId="77777777" w:rsidR="00A45525" w:rsidRDefault="00A45525">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9"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0"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7"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1"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3"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4"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6"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7"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3"/>
  </w:num>
  <w:num w:numId="2" w16cid:durableId="997340142">
    <w:abstractNumId w:val="4"/>
  </w:num>
  <w:num w:numId="3" w16cid:durableId="818888625">
    <w:abstractNumId w:val="17"/>
  </w:num>
  <w:num w:numId="4" w16cid:durableId="789980796">
    <w:abstractNumId w:val="18"/>
  </w:num>
  <w:num w:numId="5" w16cid:durableId="2135756204">
    <w:abstractNumId w:val="8"/>
  </w:num>
  <w:num w:numId="6" w16cid:durableId="1603613276">
    <w:abstractNumId w:val="12"/>
  </w:num>
  <w:num w:numId="7" w16cid:durableId="1698236715">
    <w:abstractNumId w:val="33"/>
  </w:num>
  <w:num w:numId="8" w16cid:durableId="1567180075">
    <w:abstractNumId w:val="35"/>
  </w:num>
  <w:num w:numId="9" w16cid:durableId="260988981">
    <w:abstractNumId w:val="27"/>
  </w:num>
  <w:num w:numId="10" w16cid:durableId="360321617">
    <w:abstractNumId w:val="20"/>
  </w:num>
  <w:num w:numId="11" w16cid:durableId="11301047">
    <w:abstractNumId w:val="26"/>
  </w:num>
  <w:num w:numId="12" w16cid:durableId="104814016">
    <w:abstractNumId w:val="30"/>
  </w:num>
  <w:num w:numId="13" w16cid:durableId="1885175596">
    <w:abstractNumId w:val="0"/>
  </w:num>
  <w:num w:numId="14" w16cid:durableId="167066823">
    <w:abstractNumId w:val="31"/>
  </w:num>
  <w:num w:numId="15" w16cid:durableId="954553902">
    <w:abstractNumId w:val="28"/>
  </w:num>
  <w:num w:numId="16" w16cid:durableId="1324506319">
    <w:abstractNumId w:val="15"/>
  </w:num>
  <w:num w:numId="17" w16cid:durableId="1839225738">
    <w:abstractNumId w:val="34"/>
  </w:num>
  <w:num w:numId="18" w16cid:durableId="267396013">
    <w:abstractNumId w:val="21"/>
  </w:num>
  <w:num w:numId="19" w16cid:durableId="1228301004">
    <w:abstractNumId w:val="24"/>
  </w:num>
  <w:num w:numId="20" w16cid:durableId="554125780">
    <w:abstractNumId w:val="13"/>
  </w:num>
  <w:num w:numId="21" w16cid:durableId="1964574287">
    <w:abstractNumId w:val="16"/>
  </w:num>
  <w:num w:numId="22" w16cid:durableId="1868059492">
    <w:abstractNumId w:val="25"/>
  </w:num>
  <w:num w:numId="23" w16cid:durableId="529534098">
    <w:abstractNumId w:val="3"/>
  </w:num>
  <w:num w:numId="24" w16cid:durableId="1828084485">
    <w:abstractNumId w:val="14"/>
  </w:num>
  <w:num w:numId="25" w16cid:durableId="1934242185">
    <w:abstractNumId w:val="10"/>
  </w:num>
  <w:num w:numId="26" w16cid:durableId="1799032513">
    <w:abstractNumId w:val="32"/>
  </w:num>
  <w:num w:numId="27" w16cid:durableId="98570134">
    <w:abstractNumId w:val="9"/>
  </w:num>
  <w:num w:numId="28" w16cid:durableId="1517381528">
    <w:abstractNumId w:val="5"/>
  </w:num>
  <w:num w:numId="29" w16cid:durableId="823667415">
    <w:abstractNumId w:val="11"/>
  </w:num>
  <w:num w:numId="30" w16cid:durableId="1665426430">
    <w:abstractNumId w:val="19"/>
  </w:num>
  <w:num w:numId="31" w16cid:durableId="724336090">
    <w:abstractNumId w:val="22"/>
  </w:num>
  <w:num w:numId="32" w16cid:durableId="1229151702">
    <w:abstractNumId w:val="6"/>
  </w:num>
  <w:num w:numId="33" w16cid:durableId="1877502275">
    <w:abstractNumId w:val="1"/>
  </w:num>
  <w:num w:numId="34" w16cid:durableId="395935091">
    <w:abstractNumId w:val="2"/>
  </w:num>
  <w:num w:numId="35" w16cid:durableId="996500697">
    <w:abstractNumId w:val="7"/>
  </w:num>
  <w:num w:numId="36" w16cid:durableId="955452418">
    <w:abstractNumId w:val="2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206379"/>
    <w:rsid w:val="002102ED"/>
    <w:rsid w:val="00215BA9"/>
    <w:rsid w:val="002222E3"/>
    <w:rsid w:val="00226840"/>
    <w:rsid w:val="00236A5F"/>
    <w:rsid w:val="002555BF"/>
    <w:rsid w:val="00261D87"/>
    <w:rsid w:val="002711BE"/>
    <w:rsid w:val="00272134"/>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30CE"/>
    <w:rsid w:val="003636BC"/>
    <w:rsid w:val="003665C6"/>
    <w:rsid w:val="003922D5"/>
    <w:rsid w:val="003A6AB9"/>
    <w:rsid w:val="003A7976"/>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2166"/>
    <w:rsid w:val="007324DC"/>
    <w:rsid w:val="00736724"/>
    <w:rsid w:val="0075082A"/>
    <w:rsid w:val="007536D0"/>
    <w:rsid w:val="007614B5"/>
    <w:rsid w:val="00771AB8"/>
    <w:rsid w:val="007808CA"/>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5525"/>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34A71"/>
    <w:rsid w:val="00C47FC1"/>
    <w:rsid w:val="00C5632E"/>
    <w:rsid w:val="00C5723D"/>
    <w:rsid w:val="00C66B57"/>
    <w:rsid w:val="00C71A9A"/>
    <w:rsid w:val="00C733EA"/>
    <w:rsid w:val="00C736D9"/>
    <w:rsid w:val="00C77327"/>
    <w:rsid w:val="00C817F2"/>
    <w:rsid w:val="00C868D8"/>
    <w:rsid w:val="00C93D4C"/>
    <w:rsid w:val="00CA521D"/>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950D6"/>
    <w:rsid w:val="00DA3E65"/>
    <w:rsid w:val="00DA4B1B"/>
    <w:rsid w:val="00DB1816"/>
    <w:rsid w:val="00DC2B05"/>
    <w:rsid w:val="00DC7025"/>
    <w:rsid w:val="00DE269D"/>
    <w:rsid w:val="00DE41F6"/>
    <w:rsid w:val="00DE4308"/>
    <w:rsid w:val="00DF04A0"/>
    <w:rsid w:val="00DF3D57"/>
    <w:rsid w:val="00E160DD"/>
    <w:rsid w:val="00E22438"/>
    <w:rsid w:val="00E22CB4"/>
    <w:rsid w:val="00E22E28"/>
    <w:rsid w:val="00E3106C"/>
    <w:rsid w:val="00E34945"/>
    <w:rsid w:val="00E67A73"/>
    <w:rsid w:val="00E75696"/>
    <w:rsid w:val="00E87621"/>
    <w:rsid w:val="00E9145B"/>
    <w:rsid w:val="00E950CF"/>
    <w:rsid w:val="00EB62D4"/>
    <w:rsid w:val="00EC1C5F"/>
    <w:rsid w:val="00EC2CB2"/>
    <w:rsid w:val="00ED2DC8"/>
    <w:rsid w:val="00ED3F92"/>
    <w:rsid w:val="00EE0817"/>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5FEB"/>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6991</TotalTime>
  <Pages>41</Pages>
  <Words>13412</Words>
  <Characters>73769</Characters>
  <Application>Microsoft Office Word</Application>
  <DocSecurity>0</DocSecurity>
  <Lines>614</Lines>
  <Paragraphs>174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171</cp:revision>
  <dcterms:created xsi:type="dcterms:W3CDTF">2026-03-23T21:09:00Z</dcterms:created>
  <dcterms:modified xsi:type="dcterms:W3CDTF">2026-08-26T00:15:00Z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