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4C185B95" w:rsidR="00E67A73" w:rsidRDefault="00000000" w:rsidP="00166F8B">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Por comprender actuaciones a cargo de unidades de organización distintas de la INSI, su formulación recoge los aportes de dichas unidades y su aprobación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técnicos de diseño de la arquitectura de los SBIA, el contenido de los entregables de cada etapa, los tipos y las técnicas de prueba aplicables según</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el nivel de riesgo, los controles de contención, las prácticas de monitoreo y las condiciones de retiro. En tanto no se apruebe, los SBIA siguen el ciclo de</w:t>
      </w:r>
      <w:r w:rsidR="00166F8B" w:rsidRPr="00166F8B">
        <w:rPr>
          <w:rFonts w:ascii="Arial" w:hAnsi="Arial" w:cs="Arial"/>
          <w:color w:val="000000"/>
          <w:highlight w:val="lightGray"/>
        </w:rPr>
        <w:t xml:space="preserve"> </w:t>
      </w:r>
      <w:r w:rsidR="00166F8B" w:rsidRPr="00166F8B">
        <w:rPr>
          <w:rFonts w:ascii="Arial" w:hAnsi="Arial" w:cs="Arial"/>
          <w:color w:val="000000"/>
          <w:highlight w:val="lightGray"/>
        </w:rPr>
        <w:t>vida del numeral 6.1.1 y la normativa de desarrollo de sistemas vigente en la SUNAT</w:t>
      </w:r>
      <w:r w:rsidR="00166F8B" w:rsidRPr="00166F8B">
        <w:rPr>
          <w:rFonts w:ascii="Arial" w:hAnsi="Arial" w:cs="Arial"/>
          <w:color w:val="000000"/>
          <w:highlight w:val="lightGray"/>
        </w:rPr>
        <w: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w:t>
      </w:r>
      <w:r>
        <w:rPr>
          <w:rFonts w:ascii="Arial" w:eastAsia="Arial" w:hAnsi="Arial" w:cs="Arial"/>
          <w:color w:val="000000"/>
          <w:highlight w:val="yellow"/>
        </w:rPr>
        <w:lastRenderedPageBreak/>
        <w:t xml:space="preserve">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 xml:space="preserve">Cuando la EIA detecte riesgos que afecten los derechos fundamentales o puedan generar decisiones automatizadas erróneas, el propietario del caso de uso y el equipo técnico del SBIA adoptan las medidas necesarias para mitigar </w:t>
      </w:r>
      <w:r>
        <w:rPr>
          <w:rFonts w:ascii="Arial" w:eastAsia="Arial" w:hAnsi="Arial" w:cs="Arial"/>
          <w:color w:val="000000"/>
          <w:highlight w:val="yellow"/>
        </w:rPr>
        <w:lastRenderedPageBreak/>
        <w:t>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w:t>
      </w:r>
      <w:r w:rsidRPr="005C3A70">
        <w:rPr>
          <w:rFonts w:ascii="Arial" w:eastAsia="Arial" w:hAnsi="Arial" w:cs="Arial"/>
          <w:color w:val="000000"/>
          <w:highlight w:val="lightGray"/>
        </w:rPr>
        <w:lastRenderedPageBreak/>
        <w:t xml:space="preserve">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w:t>
      </w:r>
      <w:r>
        <w:rPr>
          <w:rFonts w:ascii="Arial" w:eastAsia="Arial" w:hAnsi="Arial" w:cs="Arial"/>
          <w:color w:val="000000"/>
          <w:highlight w:val="cyan"/>
        </w:rPr>
        <w:lastRenderedPageBreak/>
        <w:t>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lastRenderedPageBreak/>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lastRenderedPageBreak/>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w:t>
      </w:r>
      <w:r>
        <w:rPr>
          <w:rFonts w:ascii="Arial" w:eastAsia="Arial" w:hAnsi="Arial" w:cs="Arial"/>
          <w:color w:val="000000"/>
          <w:highlight w:val="cyan"/>
        </w:rPr>
        <w:lastRenderedPageBreak/>
        <w:t>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w:t>
      </w:r>
      <w:r w:rsidRPr="00833CDE">
        <w:rPr>
          <w:rFonts w:ascii="Arial" w:eastAsia="Arial" w:hAnsi="Arial" w:cs="Arial"/>
          <w:color w:val="000000"/>
          <w:highlight w:val="lightGray"/>
        </w:rPr>
        <w:lastRenderedPageBreak/>
        <w:t>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2D136C" w:rsidRDefault="00326739" w:rsidP="002D136C">
      <w:pPr>
        <w:pStyle w:val="SubtituloDONI"/>
        <w:spacing w:line="276" w:lineRule="auto"/>
        <w:ind w:left="851"/>
        <w:rPr>
          <w:color w:val="000000"/>
          <w:highlight w:val="lightGray"/>
        </w:rPr>
      </w:pPr>
      <w:r w:rsidRPr="002D136C">
        <w:rPr>
          <w:highlight w:val="lightGray"/>
        </w:rPr>
        <w:t>6.15 De la articulación con la formulación de iniciativas, proyectos e inversiones</w:t>
      </w:r>
    </w:p>
    <w:p w14:paraId="0BD19C27" w14:textId="61BE8FE3"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lastRenderedPageBreak/>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3F297E38" w:rsidR="000153F0" w:rsidRPr="00A72414" w:rsidRDefault="00326739" w:rsidP="00A72414">
      <w:pPr>
        <w:spacing w:after="60" w:line="276" w:lineRule="auto"/>
        <w:ind w:left="1276" w:hanging="709"/>
        <w:jc w:val="both"/>
        <w:rPr>
          <w:rFonts w:ascii="Arial" w:eastAsia="Arial" w:hAnsi="Arial" w:cs="Arial"/>
          <w:color w:val="000000"/>
          <w:highlight w:val="yellow"/>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r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8" w:name="_Toc235003967"/>
      <w:r>
        <w:rPr>
          <w:rFonts w:cs="Arial"/>
          <w:bCs/>
          <w:color w:val="000000"/>
          <w:szCs w:val="22"/>
        </w:rPr>
        <w:lastRenderedPageBreak/>
        <w:t>DISPOSICIONES FINALES</w:t>
      </w:r>
      <w:bookmarkEnd w:id="8"/>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w:t>
      </w:r>
      <w:r w:rsidR="00174519" w:rsidRPr="00174519">
        <w:rPr>
          <w:b w:val="0"/>
          <w:bCs w:val="0"/>
          <w:highlight w:val="lightGray"/>
        </w:rPr>
        <w:t xml:space="preserve"> </w:t>
      </w:r>
      <w:r w:rsidR="00174519" w:rsidRPr="00174519">
        <w:rPr>
          <w:b w:val="0"/>
          <w:bCs w:val="0"/>
          <w:highlight w:val="lightGray"/>
        </w:rPr>
        <w:t>efectúa conforme a la METDONI. El detalle de aplicación de los Anexos, así como</w:t>
      </w:r>
      <w:r w:rsidR="00174519" w:rsidRPr="00174519">
        <w:rPr>
          <w:b w:val="0"/>
          <w:bCs w:val="0"/>
          <w:highlight w:val="lightGray"/>
        </w:rPr>
        <w:t xml:space="preserve"> </w:t>
      </w:r>
      <w:r w:rsidR="00174519" w:rsidRPr="00174519">
        <w:rPr>
          <w:b w:val="0"/>
          <w:bCs w:val="0"/>
          <w:highlight w:val="lightGray"/>
        </w:rPr>
        <w:t>los formatos, campos e indicadores operativos que de ellos se derivan, se establecen en los documentos normativos institucionales de menor rango</w:t>
      </w:r>
      <w:r w:rsidR="00174519" w:rsidRPr="00174519">
        <w:rPr>
          <w:b w:val="0"/>
          <w:bCs w:val="0"/>
          <w:highlight w:val="lightGray"/>
        </w:rPr>
        <w:t xml:space="preserve"> </w:t>
      </w:r>
      <w:r w:rsidR="00174519" w:rsidRPr="00174519">
        <w:rPr>
          <w:b w:val="0"/>
          <w:bCs w:val="0"/>
          <w:highlight w:val="lightGray"/>
        </w:rPr>
        <w:t>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w:t>
      </w:r>
      <w:r>
        <w:rPr>
          <w:b w:val="0"/>
          <w:bCs w:val="0"/>
          <w:highlight w:val="yellow"/>
        </w:rPr>
        <w:lastRenderedPageBreak/>
        <w:t>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9" w:name="_Toc235003968"/>
      <w:r>
        <w:rPr>
          <w:rFonts w:cs="Arial"/>
          <w:bCs/>
          <w:color w:val="000000"/>
          <w:szCs w:val="22"/>
        </w:rPr>
        <w:t>ANEXOS</w:t>
      </w:r>
      <w:bookmarkEnd w:id="9"/>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w:t>
      </w:r>
      <w:r w:rsidRPr="00174519">
        <w:rPr>
          <w:rFonts w:ascii="Arial" w:hAnsi="Arial" w:cs="Arial"/>
          <w:highlight w:val="lightGray"/>
        </w:rPr>
        <w:t xml:space="preserve"> </w:t>
      </w:r>
      <w:r w:rsidRPr="00174519">
        <w:rPr>
          <w:rFonts w:ascii="Arial" w:hAnsi="Arial" w:cs="Arial"/>
          <w:highlight w:val="lightGray"/>
        </w:rPr>
        <w:t xml:space="preserve">datos y </w:t>
      </w:r>
      <w:r w:rsidRPr="00174519">
        <w:rPr>
          <w:rFonts w:ascii="Arial" w:hAnsi="Arial" w:cs="Arial"/>
          <w:highlight w:val="lightGray"/>
        </w:rPr>
        <w:t>las evidencias</w:t>
      </w:r>
      <w:r w:rsidRPr="00174519">
        <w:rPr>
          <w:rFonts w:ascii="Arial" w:hAnsi="Arial" w:cs="Arial"/>
          <w:highlight w:val="lightGray"/>
        </w:rPr>
        <w:t xml:space="preserve"> del problema que sustentan la iniciativa, conforme al</w:t>
      </w:r>
      <w:r w:rsidRPr="00174519">
        <w:rPr>
          <w:rFonts w:ascii="Arial" w:hAnsi="Arial" w:cs="Arial"/>
          <w:highlight w:val="lightGray"/>
        </w:rPr>
        <w:t xml:space="preserve"> </w:t>
      </w:r>
      <w:r w:rsidRPr="00174519">
        <w:rPr>
          <w:rFonts w:ascii="Arial" w:hAnsi="Arial" w:cs="Arial"/>
          <w:highlight w:val="lightGray"/>
        </w:rPr>
        <w:t>numeral 28.4 del artículo 28 del RLIA. Se adecúa a la naturaleza y magnitud de la iniciativa, requerimiento o</w:t>
      </w:r>
      <w:r w:rsidRPr="00174519">
        <w:rPr>
          <w:rFonts w:ascii="Arial" w:hAnsi="Arial" w:cs="Arial"/>
          <w:highlight w:val="lightGray"/>
        </w:rPr>
        <w:t xml:space="preserve"> </w:t>
      </w:r>
      <w:r w:rsidRPr="00174519">
        <w:rPr>
          <w:rFonts w:ascii="Arial" w:hAnsi="Arial" w:cs="Arial"/>
          <w:highlight w:val="lightGray"/>
        </w:rPr>
        <w:t>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EA7D4" w14:textId="77777777" w:rsidR="001B413C" w:rsidRDefault="001B413C">
      <w:pPr>
        <w:spacing w:after="0" w:line="240" w:lineRule="auto"/>
      </w:pPr>
      <w:r>
        <w:separator/>
      </w:r>
    </w:p>
  </w:endnote>
  <w:endnote w:type="continuationSeparator" w:id="0">
    <w:p w14:paraId="7B02F6A4" w14:textId="77777777" w:rsidR="001B413C" w:rsidRDefault="001B4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1B00B" w14:textId="77777777" w:rsidR="001B413C" w:rsidRDefault="001B413C">
      <w:pPr>
        <w:spacing w:after="0" w:line="240" w:lineRule="auto"/>
      </w:pPr>
      <w:r>
        <w:separator/>
      </w:r>
    </w:p>
  </w:footnote>
  <w:footnote w:type="continuationSeparator" w:id="0">
    <w:p w14:paraId="12C28546" w14:textId="77777777" w:rsidR="001B413C" w:rsidRDefault="001B413C">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147B"/>
    <w:rsid w:val="0018222F"/>
    <w:rsid w:val="001B413C"/>
    <w:rsid w:val="001B791A"/>
    <w:rsid w:val="001C5C4D"/>
    <w:rsid w:val="001D0B85"/>
    <w:rsid w:val="001F16B0"/>
    <w:rsid w:val="002102ED"/>
    <w:rsid w:val="00215BA9"/>
    <w:rsid w:val="002222E3"/>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7324"/>
    <w:rsid w:val="006806C8"/>
    <w:rsid w:val="00682244"/>
    <w:rsid w:val="00691FB4"/>
    <w:rsid w:val="00697B72"/>
    <w:rsid w:val="006B3AF5"/>
    <w:rsid w:val="006B4241"/>
    <w:rsid w:val="006C344B"/>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4946</TotalTime>
  <Pages>35</Pages>
  <Words>10904</Words>
  <Characters>59978</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139</cp:revision>
  <dcterms:created xsi:type="dcterms:W3CDTF">2026-03-23T21:09:00Z</dcterms:created>
  <dcterms:modified xsi:type="dcterms:W3CDTF">2026-07-29T08:09:00Z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