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32246A1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sidR="006248C0">
          <w:rPr>
            <w:webHidden/>
          </w:rPr>
          <w:t>5</w:t>
        </w:r>
        <w:r>
          <w:rPr>
            <w:webHidden/>
          </w:rPr>
          <w:fldChar w:fldCharType="end"/>
        </w:r>
      </w:hyperlink>
    </w:p>
    <w:p w14:paraId="3500C9E2" w14:textId="7B7A40C4"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sidR="006248C0">
          <w:rPr>
            <w:webHidden/>
          </w:rPr>
          <w:t>5</w:t>
        </w:r>
        <w:r>
          <w:rPr>
            <w:webHidden/>
          </w:rPr>
          <w:fldChar w:fldCharType="end"/>
        </w:r>
      </w:hyperlink>
    </w:p>
    <w:p w14:paraId="7A4DB512" w14:textId="45B03804"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sidR="006248C0">
          <w:rPr>
            <w:webHidden/>
          </w:rPr>
          <w:t>5</w:t>
        </w:r>
        <w:r>
          <w:rPr>
            <w:webHidden/>
          </w:rPr>
          <w:fldChar w:fldCharType="end"/>
        </w:r>
      </w:hyperlink>
    </w:p>
    <w:p w14:paraId="122868CE" w14:textId="249C0325"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sidR="006248C0">
          <w:rPr>
            <w:webHidden/>
          </w:rPr>
          <w:t>8</w:t>
        </w:r>
        <w:r>
          <w:rPr>
            <w:webHidden/>
          </w:rPr>
          <w:fldChar w:fldCharType="end"/>
        </w:r>
      </w:hyperlink>
    </w:p>
    <w:p w14:paraId="334964A7" w14:textId="758046F0"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sidR="006248C0">
          <w:rPr>
            <w:webHidden/>
          </w:rPr>
          <w:t>10</w:t>
        </w:r>
        <w:r>
          <w:rPr>
            <w:webHidden/>
          </w:rPr>
          <w:fldChar w:fldCharType="end"/>
        </w:r>
      </w:hyperlink>
    </w:p>
    <w:p w14:paraId="21A72EE4" w14:textId="4B568645"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sidR="006248C0">
          <w:rPr>
            <w:webHidden/>
          </w:rPr>
          <w:t>20</w:t>
        </w:r>
        <w:r>
          <w:rPr>
            <w:webHidden/>
          </w:rPr>
          <w:fldChar w:fldCharType="end"/>
        </w:r>
      </w:hyperlink>
    </w:p>
    <w:p w14:paraId="25BE9A9A" w14:textId="1C15B35A"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sidR="006248C0">
          <w:rPr>
            <w:webHidden/>
          </w:rPr>
          <w:t>46</w:t>
        </w:r>
        <w:r>
          <w:rPr>
            <w:webHidden/>
          </w:rPr>
          <w:fldChar w:fldCharType="end"/>
        </w:r>
      </w:hyperlink>
    </w:p>
    <w:p w14:paraId="1C3DBB26" w14:textId="3210B04A"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sidR="006248C0">
          <w:rPr>
            <w:webHidden/>
          </w:rPr>
          <w:t>48</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spacing w:after="60" w:line="276" w:lineRule="auto"/>
        <w:ind w:left="1276" w:hanging="720"/>
      </w:pPr>
      <w:r>
        <w:rPr>
          <w:color w:val="000000"/>
          <w:highlight w:val="cyan"/>
        </w:rPr>
        <w:t>5.1.4</w:t>
      </w:r>
      <w:r>
        <w:rPr>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7395F0" w14:textId="77777777" w:rsidR="00863A18" w:rsidRPr="00923C59" w:rsidRDefault="00863A18" w:rsidP="00B23382">
      <w:pPr>
        <w:pStyle w:val="SubtituloDONI"/>
        <w:spacing w:line="276" w:lineRule="auto"/>
        <w:ind w:left="851"/>
      </w:pPr>
      <w:r>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lastRenderedPageBreak/>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sidRPr="00F775C3">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 xml:space="preserve">Verifica la causal y resuelve sobre el componente de IA cuando la Comisión de Gobierno de IA emite pronunciamiento no favorable, en </w:t>
            </w:r>
            <w:r>
              <w:rPr>
                <w:b w:val="0"/>
                <w:bCs w:val="0"/>
                <w:highlight w:val="green"/>
              </w:rPr>
              <w:lastRenderedPageBreak/>
              <w:t>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 xml:space="preserve">Supervisar el cumplimiento de los hitos de aprobación del ciclo de vida </w:t>
            </w:r>
            <w:r>
              <w:rPr>
                <w:b w:val="0"/>
                <w:bCs w:val="0"/>
                <w:highlight w:val="green"/>
              </w:rPr>
              <w:lastRenderedPageBreak/>
              <w:t>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alto cumplan los estándares de </w:t>
            </w:r>
            <w:r>
              <w:rPr>
                <w:b w:val="0"/>
                <w:bCs w:val="0"/>
              </w:rPr>
              <w:lastRenderedPageBreak/>
              <w:t>calidad y ética aplicables, conforme al numeral 6.5 del artículo 6 de la Resolución Ministerial N.° 152-2026-PCM. La ejerce en coordinación con las unidades de organización y con los propietarios de los casos de uso, y se apoya en las verificaciones previstas en los numerales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w:t>
            </w:r>
            <w:r>
              <w:rPr>
                <w:b w:val="0"/>
                <w:bCs w:val="0"/>
                <w:color w:val="000000"/>
                <w:highlight w:val="green"/>
              </w:rPr>
              <w:lastRenderedPageBreak/>
              <w:t>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w:t>
            </w:r>
            <w:r>
              <w:rPr>
                <w:b w:val="0"/>
                <w:bCs w:val="0"/>
                <w:highlight w:val="green"/>
              </w:rPr>
              <w:lastRenderedPageBreak/>
              <w:t>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 xml:space="preserve">Asegura que los SBIA se incorporen al Plan de Sistemas de la INSI, que elabora la División de Gestión de </w:t>
            </w:r>
            <w:r>
              <w:rPr>
                <w:b w:val="0"/>
                <w:bCs w:val="0"/>
                <w:highlight w:val="green"/>
              </w:rPr>
              <w:lastRenderedPageBreak/>
              <w:t>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7346B5E1"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B428DCC" w14:textId="77777777" w:rsidR="003D4DEA" w:rsidRPr="003D4DEA" w:rsidRDefault="003D4DEA" w:rsidP="003D4DEA">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B34A74" w14:paraId="5EAE178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BC72C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8CD1E7"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D640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4D2797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Conduce el proceso de elaboración de las acciones de sensibilización, concientización y capacitación en IA, diferenciadas por grupos de uso </w:t>
            </w:r>
            <w:r>
              <w:rPr>
                <w:b w:val="0"/>
                <w:bCs w:val="0"/>
                <w:highlight w:val="yellow"/>
              </w:rPr>
              <w:lastRenderedPageBreak/>
              <w:t>de SBIA, y eleva la propuesta para su aprobación, conforme al literal f) del artículo 197 del ROF.</w:t>
            </w:r>
          </w:p>
          <w:p w14:paraId="2989C04A"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24A2A15D"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0E153565"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B10861" w14:paraId="4A7909D3"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C9FDA5" w14:textId="77777777" w:rsidR="00B10861" w:rsidRDefault="00000000">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148E16" w14:textId="77777777" w:rsidR="00B10861" w:rsidRDefault="00000000">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9BD87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BCBBABA"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71C72A37"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AB661D"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B10861" w14:paraId="5CEFD7CC"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7AD2B3" w14:textId="77777777" w:rsidR="00B10861" w:rsidRDefault="00000000">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F1E350" w14:textId="77777777" w:rsidR="00B10861" w:rsidRDefault="00000000">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AA361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00E951B8"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Emite opinión legal vinculante y absuelve las consultas que le formulan las unidades de organización en las materias de su competencia, conforme a los </w:t>
            </w:r>
            <w:r>
              <w:rPr>
                <w:b w:val="0"/>
                <w:bCs w:val="0"/>
              </w:rPr>
              <w:lastRenderedPageBreak/>
              <w:t>literales c) y d) del artículo 454 del ROF.</w:t>
            </w:r>
          </w:p>
          <w:p w14:paraId="11F0B90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5AF698A2"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414A5D7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783690D6" w14:textId="77777777" w:rsidR="00863A18" w:rsidRPr="00923C59" w:rsidRDefault="003D4DEA" w:rsidP="00B23382">
      <w:pPr>
        <w:pStyle w:val="Ttulo1"/>
        <w:spacing w:line="276" w:lineRule="auto"/>
        <w:rPr>
          <w:rFonts w:cs="Arial"/>
          <w:szCs w:val="22"/>
        </w:rPr>
      </w:pPr>
      <w:bookmarkStart w:id="6" w:name="_Toc235003966"/>
      <w:r>
        <w:rPr>
          <w:rFonts w:cs="Arial"/>
          <w:bCs/>
          <w:color w:val="000000"/>
          <w:szCs w:val="22"/>
        </w:rPr>
        <w:lastRenderedPageBreak/>
        <w:br w:type="textWrapping" w:clear="all"/>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w:t>
            </w:r>
            <w:r>
              <w:rPr>
                <w:rFonts w:ascii="Arial" w:eastAsia="Arial" w:hAnsi="Arial" w:cs="Arial"/>
                <w:highlight w:val="green"/>
              </w:rPr>
              <w:lastRenderedPageBreak/>
              <w:t>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w:t>
            </w:r>
            <w:r>
              <w:rPr>
                <w:rFonts w:ascii="Arial" w:hAnsi="Arial" w:cs="Arial"/>
                <w:highlight w:val="green"/>
              </w:rPr>
              <w:lastRenderedPageBreak/>
              <w:t>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6.1.4</w:t>
      </w:r>
      <w:r>
        <w:rPr>
          <w:rFonts w:ascii="Arial" w:eastAsia="Arial" w:hAnsi="Arial" w:cs="Arial"/>
          <w:color w:val="000000"/>
          <w:highlight w:val="green"/>
        </w:rPr>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r>
      <w:r>
        <w:rPr>
          <w:rFonts w:ascii="Arial" w:eastAsia="Arial" w:hAnsi="Arial" w:cs="Arial"/>
          <w:color w:val="000000"/>
          <w:highlight w:val="green"/>
        </w:rPr>
        <w:tab/>
        <w:t>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w:t>
      </w:r>
      <w:r>
        <w:rPr>
          <w:rFonts w:ascii="Arial" w:hAnsi="Arial" w:cs="Arial"/>
          <w:color w:val="000000"/>
          <w:highlight w:val="cyan"/>
        </w:rPr>
        <w:lastRenderedPageBreak/>
        <w:t xml:space="preserve">(artículo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 xml:space="preserve">Ante la duda sobre si un SBIA constituye uso </w:t>
      </w:r>
      <w:r>
        <w:rPr>
          <w:rFonts w:ascii="Arial" w:eastAsia="Arial" w:hAnsi="Arial" w:cs="Arial"/>
          <w:color w:val="000000"/>
          <w:highlight w:val="cyan"/>
        </w:rPr>
        <w:lastRenderedPageBreak/>
        <w:t>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r>
      <w:r>
        <w:rPr>
          <w:rFonts w:ascii="Arial" w:eastAsia="Arial" w:hAnsi="Arial" w:cs="Arial"/>
          <w:color w:val="000000"/>
          <w:highlight w:val="green"/>
        </w:rPr>
        <w:tab/>
        <w:t xml:space="preserve">Todo SBIA cuenta con la aprobación del diseño de su arquitectura de solución, previa al inicio del desarrollo, la adquisición o el entrenamiento, conforme a la etapa 3 del numeral 6.1.1. Dicha aprobación corresponde a la División de </w:t>
      </w:r>
      <w:r>
        <w:rPr>
          <w:rFonts w:ascii="Arial" w:eastAsia="Arial" w:hAnsi="Arial" w:cs="Arial"/>
          <w:color w:val="000000"/>
          <w:highlight w:val="green"/>
        </w:rPr>
        <w:lastRenderedPageBreak/>
        <w:t xml:space="preserve">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r>
      <w:r>
        <w:rPr>
          <w:rFonts w:ascii="Arial" w:eastAsia="Arial" w:hAnsi="Arial" w:cs="Arial"/>
          <w:color w:val="000000"/>
          <w:highlight w:val="lightGray"/>
        </w:rPr>
        <w:tab/>
        <w:t>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w:t>
      </w:r>
      <w:r>
        <w:rPr>
          <w:rFonts w:ascii="Arial" w:eastAsia="Arial" w:hAnsi="Arial" w:cs="Arial"/>
          <w:color w:val="000000"/>
          <w:highlight w:val="green"/>
        </w:rPr>
        <w:lastRenderedPageBreak/>
        <w:t>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r>
      <w:r>
        <w:rPr>
          <w:rFonts w:ascii="Arial" w:eastAsia="Arial" w:hAnsi="Arial" w:cs="Arial"/>
          <w:color w:val="000000"/>
          <w:highlight w:val="green"/>
        </w:rPr>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 xml:space="preserve">Human-in-command (obligatorio para todos los SBIA): Un responsable designado por el propietario del caso de uso mantiene la capacidad de desactivar, suspender o modificar el comportamiento del SBIA en cualquier </w:t>
      </w:r>
      <w:r>
        <w:rPr>
          <w:b w:val="0"/>
          <w:bCs w:val="0"/>
          <w:color w:val="000000"/>
          <w:highlight w:val="yellow"/>
        </w:rPr>
        <w:lastRenderedPageBreak/>
        <w:t>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La ejecución de las pruebas que sustentan la medición de los indicadores de sesgo previstos en el numeral 6.10.2 corresponde a la División de Control de Calidad, como prueba no funcional, conforme al literal a) del artículo 126 del ROF.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w:t>
      </w:r>
      <w:r>
        <w:rPr>
          <w:rFonts w:ascii="Arial" w:eastAsia="Arial" w:hAnsi="Arial" w:cs="Arial"/>
          <w:color w:val="000000"/>
          <w:highlight w:val="green"/>
        </w:rPr>
        <w:lastRenderedPageBreak/>
        <w:t>(SGSI-MA-03)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6.7.8</w:t>
      </w:r>
      <w:r>
        <w:rPr>
          <w:rFonts w:ascii="Arial" w:eastAsia="Arial" w:hAnsi="Arial" w:cs="Arial"/>
          <w:color w:val="000000"/>
          <w:highlight w:val="green"/>
        </w:rPr>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r>
      <w:r>
        <w:rPr>
          <w:rFonts w:ascii="Arial" w:eastAsia="Arial" w:hAnsi="Arial" w:cs="Arial"/>
          <w:color w:val="000000"/>
          <w:highlight w:val="green"/>
        </w:rPr>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r>
      <w:r>
        <w:rPr>
          <w:rFonts w:ascii="Arial" w:eastAsia="Arial" w:hAnsi="Arial" w:cs="Arial"/>
          <w:color w:val="000000"/>
          <w:highlight w:val="green"/>
        </w:rPr>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lastRenderedPageBreak/>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r>
      <w:r>
        <w:rPr>
          <w:rFonts w:ascii="Arial" w:eastAsia="Arial" w:hAnsi="Arial" w:cs="Arial"/>
          <w:color w:val="000000"/>
          <w:highlight w:val="green"/>
        </w:rPr>
        <w:tab/>
        <w:t xml:space="preserve">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w:t>
      </w:r>
      <w:r>
        <w:rPr>
          <w:rFonts w:ascii="Arial" w:eastAsia="Arial" w:hAnsi="Arial" w:cs="Arial"/>
          <w:color w:val="000000"/>
          <w:highlight w:val="green"/>
        </w:rPr>
        <w:lastRenderedPageBreak/>
        <w:t>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w:t>
      </w:r>
      <w:r>
        <w:rPr>
          <w:rFonts w:ascii="Arial" w:eastAsia="Arial" w:hAnsi="Arial" w:cs="Arial"/>
          <w:color w:val="000000"/>
          <w:highlight w:val="green"/>
        </w:rPr>
        <w:lastRenderedPageBreak/>
        <w:t>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r>
      <w:r>
        <w:rPr>
          <w:rFonts w:ascii="Arial" w:hAnsi="Arial" w:cs="Arial"/>
          <w:highlight w:val="lightGray"/>
        </w:rPr>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r>
      <w:r>
        <w:rPr>
          <w:rFonts w:ascii="Arial" w:hAnsi="Arial" w:cs="Arial"/>
          <w:highlight w:val="green"/>
        </w:rPr>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w:t>
      </w:r>
      <w:r>
        <w:rPr>
          <w:rFonts w:ascii="Arial" w:hAnsi="Arial" w:cs="Arial"/>
          <w:highlight w:val="lightGray"/>
        </w:rPr>
        <w:lastRenderedPageBreak/>
        <w:t>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r>
      <w:r>
        <w:rPr>
          <w:rFonts w:ascii="Arial" w:hAnsi="Arial" w:cs="Arial"/>
          <w:highlight w:val="green"/>
        </w:rPr>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w:t>
      </w:r>
      <w:r>
        <w:rPr>
          <w:rFonts w:ascii="Arial" w:eastAsia="Arial" w:hAnsi="Arial" w:cs="Arial"/>
          <w:color w:val="000000"/>
          <w:highlight w:val="green"/>
        </w:rPr>
        <w:lastRenderedPageBreak/>
        <w:t>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 xml:space="preserve">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w:t>
      </w:r>
      <w:r>
        <w:rPr>
          <w:rFonts w:ascii="Arial" w:eastAsia="Arial" w:hAnsi="Arial" w:cs="Arial"/>
          <w:color w:val="000000"/>
          <w:highlight w:val="green"/>
        </w:rPr>
        <w:lastRenderedPageBreak/>
        <w:t>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r>
      <w:r>
        <w:rPr>
          <w:rFonts w:ascii="Arial" w:eastAsia="Arial" w:hAnsi="Arial" w:cs="Arial"/>
          <w:color w:val="000000"/>
          <w:highlight w:val="lightGray"/>
        </w:rPr>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r>
      <w:r>
        <w:rPr>
          <w:rFonts w:ascii="Arial" w:eastAsia="Arial" w:hAnsi="Arial" w:cs="Arial"/>
          <w:color w:val="000000"/>
          <w:highlight w:val="lightGray"/>
        </w:rPr>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lastRenderedPageBreak/>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r>
      <w:r>
        <w:rPr>
          <w:rFonts w:ascii="Arial" w:eastAsia="Arial" w:hAnsi="Arial" w:cs="Arial"/>
          <w:color w:val="000000"/>
          <w:highlight w:val="lightGray"/>
        </w:rPr>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w:t>
      </w:r>
      <w:r>
        <w:rPr>
          <w:rFonts w:ascii="Arial" w:eastAsia="Arial" w:hAnsi="Arial" w:cs="Arial"/>
          <w:color w:val="000000"/>
          <w:highlight w:val="yellow"/>
        </w:rPr>
        <w:lastRenderedPageBreak/>
        <w:t>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r>
      <w:r>
        <w:rPr>
          <w:highlight w:val="lightGray"/>
        </w:rPr>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r>
      <w:r>
        <w:rPr>
          <w:rFonts w:ascii="Arial" w:hAnsi="Arial" w:cs="Arial"/>
          <w:highlight w:val="green"/>
        </w:rPr>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r>
      <w:r>
        <w:rPr>
          <w:rFonts w:ascii="Arial" w:hAnsi="Arial" w:cs="Arial"/>
          <w:highlight w:val="green"/>
        </w:rPr>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r>
      <w:r>
        <w:rPr>
          <w:rFonts w:ascii="Arial" w:hAnsi="Arial" w:cs="Arial"/>
          <w:highlight w:val="lightGray"/>
        </w:rPr>
        <w:tab/>
        <w:t xml:space="preserve">En la gestión de la demanda informática, cuando un requerimiento implique el desarrollo, la adquisición o el uso de un SBIA o de una herramienta de IA, se recaba la opinión de la Comisión antes de su atención, con los formatos </w:t>
      </w:r>
      <w:r>
        <w:rPr>
          <w:rFonts w:ascii="Arial" w:hAnsi="Arial" w:cs="Arial"/>
          <w:highlight w:val="lightGray"/>
        </w:rPr>
        <w:lastRenderedPageBreak/>
        <w:t>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r>
      <w:r>
        <w:rPr>
          <w:rFonts w:ascii="Arial" w:hAnsi="Arial" w:cs="Arial"/>
          <w:highlight w:val="green"/>
        </w:rPr>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r>
      <w:r>
        <w:rPr>
          <w:rFonts w:ascii="Arial" w:hAnsi="Arial" w:cs="Arial"/>
          <w:highlight w:val="lightGray"/>
        </w:rPr>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r>
      <w:r>
        <w:rPr>
          <w:rFonts w:ascii="Arial" w:hAnsi="Arial" w:cs="Arial"/>
          <w:highlight w:val="green"/>
        </w:rPr>
        <w:tab/>
        <w:t>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r>
      <w:r>
        <w:rPr>
          <w:rFonts w:ascii="Arial" w:hAnsi="Arial" w:cs="Arial"/>
          <w:highlight w:val="lightGray"/>
        </w:rPr>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r>
      <w:r>
        <w:rPr>
          <w:rFonts w:ascii="Arial" w:hAnsi="Arial" w:cs="Arial"/>
          <w:highlight w:val="green"/>
        </w:rPr>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r>
      <w:r>
        <w:rPr>
          <w:rFonts w:ascii="Arial" w:hAnsi="Arial" w:cs="Arial"/>
          <w:highlight w:val="green"/>
        </w:rPr>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r>
      <w:r>
        <w:rPr>
          <w:rFonts w:ascii="Arial" w:hAnsi="Arial" w:cs="Arial"/>
          <w:highlight w:val="green"/>
        </w:rPr>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sidR="0012096A" w:rsidRPr="0012096A">
        <w:rPr>
          <w:b w:val="0"/>
          <w:bCs w:val="0"/>
          <w:highlight w:val="green"/>
        </w:rPr>
        <w:t>En tanto no se designe al OIA, el Coordinador designado conforme al numeral 7.3 ejerce las funciones de coordinación técnica en materia de IA.</w:t>
      </w:r>
      <w:r w:rsidR="0012096A">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r>
      <w:r>
        <w:rPr>
          <w:b w:val="0"/>
          <w:bCs w:val="0"/>
          <w:highlight w:val="green"/>
        </w:rPr>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65FB3"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EF614" w14:textId="77777777" w:rsidR="00A04AE5" w:rsidRDefault="00A04AE5">
      <w:pPr>
        <w:spacing w:after="0" w:line="240" w:lineRule="auto"/>
      </w:pPr>
      <w:r>
        <w:separator/>
      </w:r>
    </w:p>
  </w:endnote>
  <w:endnote w:type="continuationSeparator" w:id="0">
    <w:p w14:paraId="7BF9FDB9" w14:textId="77777777" w:rsidR="00A04AE5" w:rsidRDefault="00A04A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41D23" w14:textId="77777777" w:rsidR="00A04AE5" w:rsidRDefault="00A04AE5">
      <w:pPr>
        <w:spacing w:after="0" w:line="240" w:lineRule="auto"/>
      </w:pPr>
      <w:r>
        <w:separator/>
      </w:r>
    </w:p>
  </w:footnote>
  <w:footnote w:type="continuationSeparator" w:id="0">
    <w:p w14:paraId="40939DB0" w14:textId="77777777" w:rsidR="00A04AE5" w:rsidRDefault="00A04AE5">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10687</TotalTime>
  <Pages>55</Pages>
  <Words>18921</Words>
  <Characters>104071</Characters>
  <Application>Microsoft Office Word</Application>
  <DocSecurity>0</DocSecurity>
  <Lines>867</Lines>
  <Paragraphs>245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252</cp:revision>
  <dcterms:created xsi:type="dcterms:W3CDTF">2026-03-23T21:09:00Z</dcterms:created>
  <dcterms:modified xsi:type="dcterms:W3CDTF">2026-09-02T02:39:00Z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