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Uso Seguro, Responsable y Ético de los SBIA y tomando como marco de referencia la NTP-ISO/IEC 42001:2025, para garantizar su alineamiento con la estrategia institucional, el cumplimiento del marco normativo vigente, la protección de los derechos de los administrados, la reserva tributaria y la seguridad de la información.</w:t>
      </w:r>
    </w:p>
    <w:p w14:paraId="034E970E" w14:textId="1D631B1E" w:rsidR="00D443F8" w:rsidRDefault="00D443F8">
      <w:pPr>
        <w:spacing w:after="60" w:line="276" w:lineRule="auto"/>
        <w:jc w:val="both"/>
        <w:rPr>
          <w:rFonts w:ascii="Arial" w:hAnsi="Arial" w:cs="Arial"/>
        </w:rPr>
      </w:pPr>
      <w:r w:rsidRPr="00D443F8">
        <w:rPr>
          <w:rFonts w:ascii="Arial" w:hAnsi="Arial" w:cs="Arial"/>
          <w:highlight w:val="green"/>
        </w:rPr>
        <w:t>La presente directiva regula la gestión de los SBIA en lo que resulta específico de la inteligencia artificial. Se articula con los documentos normativos institucionales que regulan la gestión de proyectos, el desarrollo de sistemas, la gobernanza de datos, la seguridad de la información, las contrataciones y la gestión de las personas, sin sustituirlos ni desplazarlos; respecto de ellos identifica el control adicional que la presencia de un componente de IA exige y encarga su incorporación a la unidad de organización competente.</w:t>
      </w:r>
    </w:p>
    <w:p w14:paraId="1EE981FB"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de Urgencia N.° 006-2020 (08/01/2020), que crea el Sistema Nacional de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4603BA14"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lastRenderedPageBreak/>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Controles de contención (Guardrails):</w:t>
      </w:r>
      <w:r>
        <w:rPr>
          <w:b w:val="0"/>
          <w:bCs w:val="0"/>
          <w:color w:val="000000"/>
        </w:rPr>
        <w:t xml:space="preserve"> Conjunto de controles, reglas y mecanismos técnicos para limitar, filtrar o validar las entradas y salidas de un SBIA, previniendo comportamientos no deseados. [NIST AI 600-1 (2024), sección 2.6; OWASP (2025), Top 10 for LLM Applications]</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w:t>
      </w:r>
      <w:proofErr w:type="spellStart"/>
      <w:r>
        <w:rPr>
          <w:color w:val="000000"/>
        </w:rPr>
        <w:t>in-the-loop</w:t>
      </w:r>
      <w:proofErr w:type="spellEnd"/>
      <w:r>
        <w:rPr>
          <w:color w:val="000000"/>
        </w:rPr>
        <w:t>:</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w:t>
      </w:r>
      <w:r>
        <w:rPr>
          <w:b w:val="0"/>
          <w:bCs w:val="0"/>
          <w:color w:val="000000"/>
        </w:rPr>
        <w:lastRenderedPageBreak/>
        <w:t>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77777777" w:rsidR="00594919" w:rsidRDefault="00000000">
      <w:pPr>
        <w:pStyle w:val="Prrafodelista"/>
        <w:numPr>
          <w:ilvl w:val="1"/>
          <w:numId w:val="8"/>
        </w:numPr>
        <w:spacing w:after="0" w:line="276" w:lineRule="auto"/>
        <w:ind w:left="709" w:hanging="709"/>
        <w:rPr>
          <w:b w:val="0"/>
          <w:bCs w:val="0"/>
          <w:color w:val="000000"/>
        </w:rPr>
      </w:pPr>
      <w:r>
        <w:rPr>
          <w:color w:val="000000"/>
          <w:highlight w:val="cyan"/>
        </w:rPr>
        <w:t xml:space="preserve">Niveles de riesgo de un SBIA: </w:t>
      </w:r>
      <w:r w:rsidRPr="00E87621">
        <w:rPr>
          <w:b w:val="0"/>
          <w:bCs w:val="0"/>
          <w:color w:val="000000"/>
          <w:highlight w:val="cyan"/>
        </w:rPr>
        <w:t>Categorías en que se clasifica un SBIA según el riesgo que genera su uso, conforme al RLIA: uso indebido (prohibido, artículo 23), riesgo alto (sujeto a requisitos reforzados, artículo 24) y riesgo aceptable (artículo 22.2), subdividido internamente en aceptable-limitado y aceptable-mínimo para fines de supervisión. [D.S. N.° 115-2025-PCM, artículos 22 a 24]</w:t>
      </w:r>
    </w:p>
    <w:p w14:paraId="4C57C1FA" w14:textId="1EE06D1E" w:rsidR="0033689D" w:rsidRPr="00BA798A" w:rsidRDefault="0033689D">
      <w:pPr>
        <w:pStyle w:val="Prrafodelista"/>
        <w:numPr>
          <w:ilvl w:val="1"/>
          <w:numId w:val="8"/>
        </w:numPr>
        <w:spacing w:after="0" w:line="276" w:lineRule="auto"/>
        <w:ind w:left="709" w:hanging="709"/>
        <w:rPr>
          <w:b w:val="0"/>
          <w:bCs w:val="0"/>
          <w:color w:val="000000"/>
          <w:highlight w:val="lightGray"/>
        </w:rPr>
      </w:pPr>
      <w:r w:rsidRPr="00BA798A">
        <w:rPr>
          <w:color w:val="000000"/>
          <w:highlight w:val="lightGray"/>
        </w:rPr>
        <w:t>Propietario de</w:t>
      </w:r>
      <w:r w:rsidR="00BA798A">
        <w:rPr>
          <w:color w:val="000000"/>
          <w:highlight w:val="lightGray"/>
        </w:rPr>
        <w:t>l</w:t>
      </w:r>
      <w:r w:rsidRPr="00BA798A">
        <w:rPr>
          <w:color w:val="000000"/>
          <w:highlight w:val="lightGray"/>
        </w:rPr>
        <w:t xml:space="preserve"> caso de uso: </w:t>
      </w:r>
      <w:r w:rsidR="00BA798A" w:rsidRPr="00BA798A">
        <w:rPr>
          <w:b w:val="0"/>
          <w:bCs w:val="0"/>
          <w:color w:val="000000"/>
          <w:highlight w:val="lightGray"/>
        </w:rPr>
        <w:t>Unidad de organización que, de acuerdo con sus competencias y funciones en el ROF, es el dueño del proceso en el que se identifica la necesidad a atender mediante un SBIA y que asume la responsabilidad funcional sobre sus resultados durante todo su ciclo de vida. Se distingue del custodio técnico, a cargo de la arquitectura y la operación del SBIA. [METGEP, numeral 4.9; METDONI, numeral 4.6; NTP-ISO/IEC 42001:2025, cláusula 5.3]</w:t>
      </w:r>
    </w:p>
    <w:p w14:paraId="5DB96D0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Red Teaming:</w:t>
      </w:r>
      <w:r>
        <w:rPr>
          <w:b w:val="0"/>
          <w:bCs w:val="0"/>
          <w:color w:val="000000"/>
        </w:rPr>
        <w:t xml:space="preserve"> Práctica de seguridad ofensiva que simula ataques adversarios contra un SBIA para identificar vulnerabilidades previo a su despliegue. [NIST AI 600-1 (2024), sección 2.7; OWASP (2025)]</w:t>
      </w:r>
    </w:p>
    <w:p w14:paraId="2D99BF1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Reserva tributaria:</w:t>
      </w:r>
      <w:r>
        <w:rPr>
          <w:b w:val="0"/>
          <w:bCs w:val="0"/>
          <w:color w:val="000000"/>
        </w:rPr>
        <w:t xml:space="preserve"> Carácter reservado de la información vinculada a los contribuyentes, conforme al artículo 85 del TUO del Código Tributario.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214340BB" w14:textId="77777777" w:rsidR="00E87621" w:rsidRPr="00E87621" w:rsidRDefault="00E87621" w:rsidP="00E87621">
      <w:pPr>
        <w:spacing w:after="0" w:line="276" w:lineRule="auto"/>
        <w:rPr>
          <w:color w:val="000000"/>
        </w:rPr>
      </w:pP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4D1B4210" w14:textId="77777777" w:rsidR="008E63B0" w:rsidRDefault="008E63B0" w:rsidP="008E63B0">
      <w:pPr>
        <w:spacing w:after="60" w:line="276" w:lineRule="auto"/>
        <w:ind w:left="1276" w:hanging="720"/>
        <w:jc w:val="both"/>
        <w:rPr>
          <w:rFonts w:ascii="Arial" w:eastAsia="Arial" w:hAnsi="Arial" w:cs="Arial"/>
          <w:color w:val="000000"/>
        </w:rPr>
      </w:pPr>
    </w:p>
    <w:p w14:paraId="1E6947F8" w14:textId="77777777" w:rsidR="008E63B0" w:rsidRDefault="008E63B0" w:rsidP="008E63B0">
      <w:pPr>
        <w:spacing w:after="60" w:line="276" w:lineRule="auto"/>
        <w:ind w:left="1276" w:hanging="720"/>
        <w:jc w:val="both"/>
        <w:rPr>
          <w:rFonts w:ascii="Arial" w:eastAsia="Arial" w:hAnsi="Arial" w:cs="Arial"/>
          <w:color w:val="000000"/>
        </w:rPr>
      </w:pPr>
    </w:p>
    <w:p w14:paraId="75CE5E75" w14:textId="77777777" w:rsidR="008E63B0" w:rsidRPr="008E63B0" w:rsidRDefault="008E63B0" w:rsidP="008E63B0">
      <w:pPr>
        <w:spacing w:after="60" w:line="276" w:lineRule="auto"/>
        <w:ind w:left="1276" w:hanging="720"/>
        <w:jc w:val="both"/>
        <w:rPr>
          <w:rFonts w:ascii="Arial" w:eastAsia="Arial" w:hAnsi="Arial" w:cs="Arial"/>
          <w:color w:val="000000"/>
        </w:rPr>
      </w:pPr>
    </w:p>
    <w:p w14:paraId="6F4FB7E8" w14:textId="77777777" w:rsidR="00863A18" w:rsidRPr="00923C59" w:rsidRDefault="00863A18" w:rsidP="00B23382">
      <w:pPr>
        <w:pStyle w:val="SubtituloDONI"/>
        <w:spacing w:line="276" w:lineRule="auto"/>
        <w:ind w:left="851"/>
      </w:pPr>
      <w:r>
        <w:lastRenderedPageBreak/>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71219976"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el informe anual de IA para la SGTD.</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5D7E46D" w14:textId="77777777" w:rsidR="00E67A73" w:rsidRDefault="00000000" w:rsidP="0047575A">
            <w:pPr>
              <w:pStyle w:val="Prrafodelista"/>
              <w:numPr>
                <w:ilvl w:val="0"/>
                <w:numId w:val="13"/>
              </w:numPr>
              <w:spacing w:before="20" w:after="20" w:line="276" w:lineRule="auto"/>
              <w:ind w:left="299" w:hanging="283"/>
              <w:jc w:val="left"/>
              <w:rPr>
                <w:b w:val="0"/>
                <w:bCs w:val="0"/>
              </w:rPr>
            </w:pPr>
            <w:r>
              <w:rPr>
                <w:b w:val="0"/>
                <w:bCs w:val="0"/>
                <w:highlight w:val="yellow"/>
              </w:rPr>
              <w:t xml:space="preserve">Aprueba la clasificación de riesgo de los SBIA de riesgo alto y de los estratégicos para la entidad, así como los casos de uso y la estrategia de IA. La clasificación de los SBIA de riesgo aceptable la aprueba la Comisión de Gobierno de IA, conforme al numeral 6.2.2. </w:t>
            </w:r>
          </w:p>
          <w:p w14:paraId="4662D368"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Aprueba la EIA de SBIA de riesgo alto.</w:t>
            </w:r>
          </w:p>
          <w:p w14:paraId="58552442"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Decide sobre la no procedencia de casos de uso. </w:t>
            </w:r>
          </w:p>
          <w:p w14:paraId="555CCBE5" w14:textId="77777777" w:rsidR="0081311B" w:rsidRPr="00923C59" w:rsidRDefault="0081311B" w:rsidP="0047575A">
            <w:pPr>
              <w:pStyle w:val="Prrafodelista"/>
              <w:numPr>
                <w:ilvl w:val="0"/>
                <w:numId w:val="13"/>
              </w:numPr>
              <w:spacing w:before="20" w:after="20" w:line="276" w:lineRule="auto"/>
              <w:ind w:left="299" w:hanging="283"/>
              <w:jc w:val="left"/>
            </w:pPr>
            <w:r>
              <w:rPr>
                <w:b w:val="0"/>
                <w:bCs w:val="0"/>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lastRenderedPageBreak/>
              <w:t>actualizaciones, para aprobación del CGTD.</w:t>
            </w:r>
          </w:p>
          <w:p w14:paraId="666C1BD2" w14:textId="77777777" w:rsidR="00261D87" w:rsidRPr="00261D87" w:rsidRDefault="00261D87" w:rsidP="008E63B0">
            <w:pPr>
              <w:pStyle w:val="Prrafodelista"/>
              <w:numPr>
                <w:ilvl w:val="0"/>
                <w:numId w:val="13"/>
              </w:numPr>
              <w:spacing w:before="0" w:after="60" w:line="276" w:lineRule="auto"/>
              <w:ind w:left="273" w:hanging="273"/>
              <w:jc w:val="left"/>
              <w:rPr>
                <w:b w:val="0"/>
                <w:bCs w:val="0"/>
                <w:highlight w:val="green"/>
              </w:rPr>
            </w:pPr>
            <w:r w:rsidRPr="00261D87">
              <w:rPr>
                <w:b w:val="0"/>
                <w:bCs w:val="0"/>
                <w:highlight w:val="green"/>
              </w:rPr>
              <w:t>Evaluar el componente de IA de los casos de uso propuestos por los órganos de línea, con el alcance previsto en el numeral 6.15.1, y elevar al CGTD la recomendación fundamentada que corresponda. En las materias sobre las que otras unidades de organización emiten pronunciamiento conforme a sus competencias, la Comisión no reitera la evaluación: incorpora dicho pronunciamiento y se pronuncia únicamente sobre lo que resulta específico del componente de IA.</w:t>
            </w:r>
          </w:p>
          <w:p w14:paraId="6E3176A4" w14:textId="29EC39A4"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Proponer al CGTD la clasificación de riesgo de cada SBIA, previo al inicio del desarrollo o adquisición.</w:t>
            </w:r>
          </w:p>
          <w:p w14:paraId="7AA16B7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5D4FAD3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Supervisar el cumplimiento de los hitos de aprobación del ciclo de vida de los SBIA y consolidar los informes de monitoreo, auditoría e incidentes para conocimiento del CGTD.</w:t>
            </w:r>
          </w:p>
          <w:p w14:paraId="54B5BA3A"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lastRenderedPageBreak/>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t xml:space="preserve">Oficial de Seguridad y </w:t>
            </w:r>
            <w:r>
              <w:rPr>
                <w:rFonts w:ascii="Arial" w:eastAsia="Arial" w:hAnsi="Arial" w:cs="Arial"/>
                <w:b/>
                <w:bCs/>
                <w:color w:val="000000"/>
                <w:highlight w:val="yellow"/>
              </w:rPr>
              <w:lastRenderedPageBreak/>
              <w:t>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lastRenderedPageBreak/>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seguridad digital: promueve la seguridad y confiabilidad de los SBIA y brinda </w:t>
            </w:r>
            <w:r>
              <w:rPr>
                <w:b w:val="0"/>
                <w:bCs w:val="0"/>
                <w:color w:val="000000"/>
                <w:highlight w:val="yellow"/>
              </w:rPr>
              <w:lastRenderedPageBreak/>
              <w:t>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Asesora sobre el cumplimiento normativo de los SBIA. Revisa la EIA en materia de protección de datos y reserva tributaria. </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1BC02B"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Efectúa el análisis de riesgo y las pruebas de vulnerabilidad de los SBIA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lastRenderedPageBreak/>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 xml:space="preserve">Gestión de Recursos Humanos y </w:t>
            </w:r>
            <w:r>
              <w:rPr>
                <w:rFonts w:ascii="Arial" w:eastAsia="Arial" w:hAnsi="Arial" w:cs="Arial"/>
                <w:b/>
                <w:bCs/>
                <w:highlight w:val="yellow"/>
              </w:rPr>
              <w:lastRenderedPageBreak/>
              <w:t>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lastRenderedPageBreak/>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lastRenderedPageBreak/>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lastRenderedPageBreak/>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77777777" w:rsidR="00863A18" w:rsidRPr="00923C59" w:rsidRDefault="00E950CF"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t>Todo SBIA en la SUNAT sigue un ciclo de vida gestionado con las siguientes etapas:</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50"/>
        <w:gridCol w:w="2427"/>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45D76CA"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evalúa la Ficha y eleva la recomendación fundamentada. Aprobación conforme al numeral 6.1.2.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77777777" w:rsidR="00E67A73" w:rsidRDefault="00000000">
            <w:pPr>
              <w:spacing w:before="20" w:after="20" w:line="276" w:lineRule="auto"/>
              <w:rPr>
                <w:rFonts w:ascii="Arial" w:hAnsi="Arial" w:cs="Arial"/>
              </w:rPr>
            </w:pPr>
            <w:r>
              <w:rPr>
                <w:rFonts w:ascii="Arial" w:eastAsia="Arial" w:hAnsi="Arial" w:cs="Arial"/>
                <w:highlight w:val="yellow"/>
              </w:rPr>
              <w:t>La Comisión de Gobierno de IA coordina la evaluación técnica, legal, ética y operativa de la iniciativa y propone la clasificación de riesgo del SBIA, conforme al numeral 6.2.</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3A7E" w14:textId="77777777" w:rsidR="00E67A73" w:rsidRDefault="00000000">
            <w:pPr>
              <w:spacing w:before="20" w:after="20" w:line="276" w:lineRule="auto"/>
              <w:rPr>
                <w:rFonts w:ascii="Arial" w:hAnsi="Arial" w:cs="Arial"/>
              </w:rPr>
            </w:pPr>
            <w:r>
              <w:rPr>
                <w:rFonts w:ascii="Arial" w:eastAsia="Arial" w:hAnsi="Arial" w:cs="Arial"/>
                <w:highlight w:val="yellow"/>
              </w:rPr>
              <w:t>Aprobación de la clasificación de riesgo y de la viabilidad de la iniciativa, conforme al numeral 6.1.2.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77777777" w:rsidR="00E67A73" w:rsidRDefault="00000000">
            <w:pPr>
              <w:spacing w:before="20" w:after="20" w:line="276" w:lineRule="auto"/>
              <w:rPr>
                <w:rFonts w:ascii="Arial" w:hAnsi="Arial" w:cs="Arial"/>
              </w:rPr>
            </w:pPr>
            <w:r>
              <w:rPr>
                <w:rFonts w:ascii="Arial" w:eastAsia="Arial" w:hAnsi="Arial" w:cs="Arial"/>
                <w:highlight w:val="yellow"/>
              </w:rPr>
              <w:t>La GA conduce el diseño de la arquitectura del SBIA.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77777777" w:rsidR="00E67A73" w:rsidRDefault="00000000">
            <w:pPr>
              <w:spacing w:before="20" w:after="20" w:line="276" w:lineRule="auto"/>
              <w:rPr>
                <w:rFonts w:ascii="Arial" w:hAnsi="Arial" w:cs="Arial"/>
              </w:rPr>
            </w:pPr>
            <w:r>
              <w:rPr>
                <w:rFonts w:ascii="Arial" w:eastAsia="Arial" w:hAnsi="Arial" w:cs="Arial"/>
                <w:highlight w:val="yellow"/>
              </w:rPr>
              <w:t>Aprobación de arquitectura por GA (INSI). Para SBIA de riesgo alto, aprobación de la EIA por el CGTD, previa al inicio del desarrollo o adquisición.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77777777" w:rsidR="00E67A73" w:rsidRDefault="00000000">
            <w:pPr>
              <w:spacing w:before="20" w:after="20" w:line="276" w:lineRule="auto"/>
              <w:rPr>
                <w:rFonts w:ascii="Arial" w:hAnsi="Arial" w:cs="Arial"/>
              </w:rPr>
            </w:pPr>
            <w:r>
              <w:rPr>
                <w:rFonts w:ascii="Arial" w:eastAsia="Arial" w:hAnsi="Arial" w:cs="Arial"/>
                <w:highlight w:val="yellow"/>
              </w:rPr>
              <w:t>Las gerencias competentes de la INSI ejecutan el desarrollo del SBIA o gestionan su adquisición. La Oficina de Seguridad Informática evalúa y propone los requisitos de seguridad del SBIA, los cuales se incorporan como requisitos no funcionales.</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77777777" w:rsidR="00E67A73" w:rsidRDefault="00000000">
            <w:pPr>
              <w:spacing w:before="20" w:after="20" w:line="276" w:lineRule="auto"/>
              <w:rPr>
                <w:rFonts w:ascii="Arial" w:hAnsi="Arial" w:cs="Arial"/>
              </w:rPr>
            </w:pPr>
            <w:r>
              <w:rPr>
                <w:rFonts w:ascii="Arial" w:eastAsia="Arial" w:hAnsi="Arial" w:cs="Arial"/>
                <w:highlight w:val="yellow"/>
              </w:rPr>
              <w:t>La Gerencia de Calidad de Sistemas conduce las pruebas de verificación y validación de calidad, y la Oficina de Seguridad Informática efectúa el análisis de riesgo y las pruebas de vulnerabilidad, incluido el red teaming para riesgo alto. Con la conformidad de ambas y de la unidad de organización propietaria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77777777" w:rsidR="0018147B" w:rsidRDefault="00000000">
            <w:pPr>
              <w:spacing w:before="20" w:after="20" w:line="276" w:lineRule="auto"/>
              <w:rPr>
                <w:rFonts w:ascii="Arial" w:hAnsi="Arial" w:cs="Arial"/>
              </w:rPr>
            </w:pPr>
            <w:r>
              <w:rPr>
                <w:rFonts w:ascii="Arial" w:eastAsia="Arial" w:hAnsi="Arial" w:cs="Arial"/>
                <w:highlight w:val="yellow"/>
              </w:rPr>
              <w:t>Conformidad de la Gerencia de Operaciones y Soporte a Usuarios (INSI).</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 xml:space="preserve">El SBIA opera bajo la supervisión humana y el monitoreo previstos </w:t>
            </w:r>
            <w:r>
              <w:rPr>
                <w:rFonts w:ascii="Arial" w:eastAsia="Arial" w:hAnsi="Arial" w:cs="Arial"/>
                <w:highlight w:val="yellow"/>
              </w:rPr>
              <w:lastRenderedPageBreak/>
              <w:t>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1C8859D"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 La Comisión informa al CGTD de las aprobaciones que otorga. En los SBIA de riesgo alto, todas las etapas e hitos son obligatorios. En los subniveles de riesgo aceptable, la Comisión puede aprobar un ciclo de vida simplificado y documentado.</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521A41A2" w:rsidR="00D443F8" w:rsidRDefault="00000000" w:rsidP="00D443F8">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D443F8">
        <w:rPr>
          <w:rFonts w:ascii="Arial" w:eastAsia="Arial" w:hAnsi="Arial" w:cs="Arial"/>
          <w:color w:val="000000"/>
          <w:highlight w:val="green"/>
        </w:rPr>
        <w:tab/>
      </w:r>
      <w:r w:rsidR="00D443F8" w:rsidRPr="00D443F8">
        <w:rPr>
          <w:rFonts w:ascii="Arial" w:eastAsia="Arial" w:hAnsi="Arial" w:cs="Arial"/>
          <w:color w:val="000000"/>
          <w:highlight w:val="green"/>
        </w:rPr>
        <w:t>El pronunciamiento de la Comisión de Gobierno de IA en los hitos del ciclo de vida recae sobre el componente de IA, con el alcance y en las formas previstas en el numeral 6.15.1. Cuando la Ficha de Evaluación de Caso de Uso (Anexo N.° 4) resulte insuficiente para pronunciarse, la Comisión acompaña al propietario del caso de uso en su complementación y difiere su pronunciamiento hasta contar con la información requerida. La insuficiencia de información no constituye causal de pronunciamiento no favorable. El pronunciamiento favorable con condiciones identifica los controles exigidos y la etapa del ciclo de vida en la que se verifica su implementación. El pronunciamiento no favorable se fundamenta por escrito y se eleva al CGTD, que resuelve en acta sobre la procedencia del uso del componente de IA.</w:t>
      </w:r>
    </w:p>
    <w:p w14:paraId="68622EF3" w14:textId="1F56A967"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La INSI desarrolla y aprueba, conforme a sus competencias y a la METDONI, la metodología del ciclo de vida del SBIA previsto en el numeral 6.1.1.</w:t>
      </w:r>
      <w:r w:rsidR="00A72414">
        <w:rPr>
          <w:rFonts w:ascii="Arial" w:hAnsi="Arial" w:cs="Arial"/>
          <w:color w:val="000000"/>
          <w:highlight w:val="lightGray"/>
        </w:rPr>
        <w:t xml:space="preserve"> </w:t>
      </w:r>
      <w:r w:rsidR="00166F8B" w:rsidRPr="00166F8B">
        <w:rPr>
          <w:rFonts w:ascii="Arial" w:hAnsi="Arial" w:cs="Arial"/>
          <w:color w:val="000000"/>
          <w:highlight w:val="lightGray"/>
        </w:rPr>
        <w:t xml:space="preserve">Por comprender actuaciones a cargo de unidades de organización distintas de la INSI, su formulación recoge los aportes de dichas unidades y su aprobación requiere la opinión favorable de la Comisión de Gobierno de IA, en ejercicio de las facultades previstas en el literal h del numeral 6.4 y en el numeral 6.5 de la METDONI. La metodología comprende, como mínimo: la aplicación de la clasificación de riesgo y de la evaluación de impacto algorítmico, los criterios técnicos de diseño de la arquitectura de los SBIA, el contenido de los </w:t>
      </w:r>
      <w:r w:rsidR="00166F8B" w:rsidRPr="00166F8B">
        <w:rPr>
          <w:rFonts w:ascii="Arial" w:hAnsi="Arial" w:cs="Arial"/>
          <w:color w:val="000000"/>
          <w:highlight w:val="lightGray"/>
        </w:rPr>
        <w:lastRenderedPageBreak/>
        <w:t xml:space="preserve">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 y las condiciones de retiro.</w:t>
      </w:r>
      <w:r w:rsidR="00166F8B" w:rsidRPr="00532CB5">
        <w:rPr>
          <w:rFonts w:ascii="Arial" w:hAnsi="Arial" w:cs="Arial"/>
          <w:color w:val="000000"/>
          <w:highlight w:val="lightGray"/>
        </w:rPr>
        <w:t xml:space="preserve">. </w:t>
      </w:r>
      <w:r w:rsidR="00166F8B" w:rsidRPr="00166F8B">
        <w:rPr>
          <w:rFonts w:ascii="Arial" w:hAnsi="Arial" w:cs="Arial"/>
          <w:color w:val="000000"/>
          <w:highlight w:val="lightGray"/>
        </w:rPr>
        <w:t>En tanto no se apruebe, los SBIA siguen el ciclo de vida del numeral 6.1.1 y la normativa de desarrollo de sistemas vigente en la SUNAT.</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Para fines operativos de supervisión y monitoreo, el riesgo aceptable se subdivide en dos subniveles internos (aceptable-limitado y aceptable-mínimo), sin constituir una categoría adicional del RLIA. La clasificación y la gestión de los riesgos de los SBIA se alinean a la NTP-ISO 31000 vigente, de uso obligatorio conforme a la Sexta Disposición Complementaria Final del RLIA.</w:t>
      </w:r>
    </w:p>
    <w:p w14:paraId="0F68BDC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6.2.2</w:t>
      </w:r>
      <w:r>
        <w:rPr>
          <w:rFonts w:ascii="Arial" w:eastAsia="Arial" w:hAnsi="Arial" w:cs="Arial"/>
          <w:color w:val="000000"/>
          <w:highlight w:val="yellow"/>
        </w:rPr>
        <w:tab/>
      </w:r>
      <w:r>
        <w:rPr>
          <w:rFonts w:ascii="Arial" w:eastAsia="Arial" w:hAnsi="Arial" w:cs="Arial"/>
          <w:highlight w:val="cyan"/>
        </w:rPr>
        <w:t xml:space="preserve">Para la aplicación de la clasificación establecida, la Comisión de Gobierno de IA propone la clasificación de riesgo de las iniciativas que se presentan. </w:t>
      </w:r>
      <w:r>
        <w:rPr>
          <w:rFonts w:ascii="Arial" w:eastAsia="Arial" w:hAnsi="Arial" w:cs="Arial"/>
          <w:color w:val="000000"/>
          <w:highlight w:val="yellow"/>
        </w:rPr>
        <w:t xml:space="preserve">La opinión de la OII, en materia de ética, integridad y prevención de sesgos, y la de la INALI, en materia de cumplimiento normativo, constan de manera expresa en la propuesta. El CGTD aprueba la clasificación de las iniciativas de SBIA de riesgo alto y de aquellos estratégicos para la entidad; la Comisión de Gobierno de IA aprueba la clasificación de los SBIA de riesgo aceptable e informa de ello al CGTD. </w:t>
      </w:r>
      <w:r>
        <w:rPr>
          <w:rFonts w:ascii="Arial" w:eastAsia="Arial" w:hAnsi="Arial" w:cs="Arial"/>
          <w:highlight w:val="cyan"/>
        </w:rPr>
        <w:t>La clasificación es parte de la evaluación de viabilidad de acuerdo al ciclo de vida descrito en el 6.1.1.</w:t>
      </w:r>
      <w:r>
        <w:rPr>
          <w:rFonts w:ascii="Arial" w:eastAsia="Arial" w:hAnsi="Arial" w:cs="Arial"/>
          <w:color w:val="000000"/>
          <w:highlight w:val="cyan"/>
        </w:rPr>
        <w:t xml:space="preserve">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77777777" w:rsidR="00F91DE2"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cyan"/>
        </w:rPr>
        <w:t xml:space="preserve">La prohibición del uso indebido se asegura mediante la clasificación de riesgo previa y obligatoria, el filtro de no procedencia y el registro obligatorio en el Inventario Institucional de SBIA. Ante la duda sobre si un SBIA constituye uso </w:t>
      </w:r>
      <w:r>
        <w:rPr>
          <w:rFonts w:ascii="Arial" w:eastAsia="Arial" w:hAnsi="Arial" w:cs="Arial"/>
          <w:color w:val="000000"/>
          <w:highlight w:val="cyan"/>
        </w:rPr>
        <w:lastRenderedPageBreak/>
        <w:t>indebido, la SUNAT puede formular a la SGTD la consulta prevista en el artículo 23 del RLIA.</w:t>
      </w:r>
    </w:p>
    <w:p w14:paraId="337A8406" w14:textId="50331BA8" w:rsidR="00736724" w:rsidRDefault="00736724" w:rsidP="00736724">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736724">
        <w:rPr>
          <w:rFonts w:ascii="Arial" w:eastAsia="Arial" w:hAnsi="Arial" w:cs="Arial"/>
          <w:color w:val="000000"/>
          <w:highlight w:val="green"/>
        </w:rPr>
        <w:tab/>
        <w:t>Los controles aplicables a un SBIA se determinan a partir de su clasificación de riesgo, conforme a los numerales 6.6, 6.9 y 6.10, y no son objeto de propuesta ni de negociación. El propietario del caso de uso, con la asistencia técnica de la Comisión de Gobierno de IA, define la forma específica en que dichos controles se implementan en el SBIA. La Comisión de Gobierno de IA verifica su implementación en el hito de aprobación 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6.4.1</w:t>
      </w:r>
      <w:r>
        <w:rPr>
          <w:rFonts w:ascii="Arial" w:eastAsia="Arial" w:hAnsi="Arial" w:cs="Arial"/>
          <w:color w:val="000000"/>
          <w:highlight w:val="yellow"/>
        </w:rPr>
        <w:tab/>
        <w:t>Todo SBIA de riesgo alto debe contar con una EIA aprobada previamente a su desarrollo o implementación</w:t>
      </w:r>
      <w:r>
        <w:rPr>
          <w:rStyle w:val="Refdenotaalpie"/>
        </w:rPr>
        <w:footnoteReference w:id="1"/>
      </w:r>
      <w:r>
        <w:rPr>
          <w:rFonts w:ascii="Arial" w:eastAsia="Arial" w:hAnsi="Arial" w:cs="Arial"/>
          <w:color w:val="000000"/>
          <w:highlight w:val="yellow"/>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cyan"/>
        </w:rPr>
        <w:t>6.4.2</w:t>
      </w:r>
      <w:r>
        <w:rPr>
          <w:rFonts w:ascii="Arial" w:hAnsi="Arial" w:cs="Arial"/>
          <w:color w:val="000000"/>
          <w:highlight w:val="cyan"/>
        </w:rPr>
        <w:tab/>
        <w:t>El propietario del caso de uso elabora la EIA con la participación del equipo técnico del SBIA, conformado por las gerencias de la INSI involucradas en su desarrollo o adquisición. La EIA incorpora los aspectos de negocio (en particular el impacto en el administrado) y los aspectos técnicos. La Comisión de Gobierno de IA, la OII y la INALI la revisan.</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2"/>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6.5.1</w:t>
      </w:r>
      <w:r>
        <w:rPr>
          <w:rFonts w:ascii="Arial" w:eastAsia="Arial" w:hAnsi="Arial" w:cs="Arial"/>
          <w:color w:val="000000"/>
          <w:highlight w:val="yellow"/>
        </w:rPr>
        <w:tab/>
        <w:t xml:space="preserve">La GA conduce el diseño de la arquitectura de los SBIA, conforme a sus funciones (artículos 129 y 130, literal a, del ROF). La arquitectura de los SBIA </w:t>
      </w:r>
      <w:r>
        <w:rPr>
          <w:rFonts w:ascii="Arial" w:eastAsia="Arial" w:hAnsi="Arial" w:cs="Arial"/>
          <w:color w:val="000000"/>
          <w:highlight w:val="yellow"/>
        </w:rPr>
        <w:lastRenderedPageBreak/>
        <w:t>promueve soluciones modulares y escalables y el uso de estándares abiertos que eviten la dependencia tecnológica de un único proveedor.</w:t>
      </w:r>
    </w:p>
    <w:p w14:paraId="5746D6CB"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6.5.2</w:t>
      </w:r>
      <w:r>
        <w:rPr>
          <w:rFonts w:ascii="Arial" w:eastAsia="Arial" w:hAnsi="Arial" w:cs="Arial"/>
          <w:color w:val="000000"/>
          <w:highlight w:val="yellow"/>
        </w:rPr>
        <w:tab/>
        <w:t>El desarrollo, la adquisición y la adecuación del software de los SBIA cumplen las disposiciones y los estándares técnicos sobre procesos del ciclo de vida del software aplicables a las entidades de la Administración Pública, conforme a la normatividad vigente</w:t>
      </w:r>
      <w:r>
        <w:rPr>
          <w:rStyle w:val="Refdenotaalpie"/>
        </w:rPr>
        <w:footnoteReference w:id="3"/>
      </w:r>
      <w:r>
        <w:rPr>
          <w:rFonts w:ascii="Arial" w:eastAsia="Arial" w:hAnsi="Arial" w:cs="Arial"/>
          <w:color w:val="000000"/>
          <w:highlight w:val="yellow"/>
        </w:rPr>
        <w:t>.</w:t>
      </w:r>
    </w:p>
    <w:p w14:paraId="2D8CEC60" w14:textId="7898CA60"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 xml:space="preserve">6.5.3    El diseño de la arquitectura de los SBIA observa los Principios de Arquitectura (AAT.PRAQ.01) y los Lineamientos de Arquitectura (LAT.LIAQ.01) de la SUNAT, en sus versiones vigentes, en lo que corresponda a su naturaleza. La GA adecua dichos instrumentos y los estándares de arquitectura de su competencia para incorporar los requisitos propios de los SBIA </w:t>
      </w:r>
      <w:r w:rsidR="00B27FA6">
        <w:rPr>
          <w:rFonts w:ascii="Arial" w:eastAsia="Arial" w:hAnsi="Arial" w:cs="Arial"/>
          <w:color w:val="000000"/>
          <w:highlight w:val="lightGray"/>
        </w:rPr>
        <w:t>(</w:t>
      </w:r>
      <w:r w:rsidRPr="005C3A70">
        <w:rPr>
          <w:rFonts w:ascii="Arial" w:eastAsia="Arial" w:hAnsi="Arial" w:cs="Arial"/>
          <w:color w:val="000000"/>
          <w:highlight w:val="lightGray"/>
        </w:rPr>
        <w:t>modelos, conjuntos de datos, componentes generativos y agenticos, e infraestructura especializada</w:t>
      </w:r>
      <w:r w:rsidR="00B27FA6">
        <w:rPr>
          <w:rFonts w:ascii="Arial" w:eastAsia="Arial" w:hAnsi="Arial" w:cs="Arial"/>
          <w:color w:val="000000"/>
          <w:highlight w:val="lightGray"/>
        </w:rPr>
        <w:t>),</w:t>
      </w:r>
      <w:r w:rsidRPr="005C3A70">
        <w:rPr>
          <w:rFonts w:ascii="Arial" w:eastAsia="Arial" w:hAnsi="Arial" w:cs="Arial"/>
          <w:color w:val="000000"/>
          <w:highlight w:val="lightGray"/>
        </w:rPr>
        <w:t xml:space="preserve"> conforme al literal c) del artículo 130 del ROF, y los aprueba mediante el documento normativo institucional que corresponda según la METDONI.</w:t>
      </w:r>
    </w:p>
    <w:p w14:paraId="003F2D17" w14:textId="77777777" w:rsid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6.5.4   Todo SBIA cuenta con la aprobación de su arquitectura de solución por la GA, previa al inicio del desarrollo, la adquisición o el entrenamiento, conforme a la etapa 3 del numeral 6.1.1. Los requisitos derivados del nivel de riesgo aprobado, incluidos los mecanismos de supervisión humana, explicabilidad y trazabilidad, se incorporan como requisitos no funcionales de la solución.</w:t>
      </w:r>
    </w:p>
    <w:p w14:paraId="3E104098" w14:textId="51207D41"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6.5.5</w:t>
      </w:r>
      <w:r>
        <w:rPr>
          <w:rFonts w:ascii="Arial" w:eastAsia="Arial" w:hAnsi="Arial" w:cs="Arial"/>
          <w:color w:val="000000"/>
          <w:highlight w:val="lightGray"/>
        </w:rPr>
        <w:t xml:space="preserve">   Los </w:t>
      </w:r>
      <w:r w:rsidRPr="005C3A70">
        <w:rPr>
          <w:rFonts w:ascii="Arial" w:eastAsia="Arial" w:hAnsi="Arial" w:cs="Arial"/>
          <w:color w:val="000000"/>
          <w:highlight w:val="lightGray"/>
        </w:rPr>
        <w:t>SBIA que ejecuten acciones sobre sistemas, datos o procesos con algún grado de autonomía</w:t>
      </w:r>
      <w:r>
        <w:rPr>
          <w:rFonts w:ascii="Arial" w:eastAsia="Arial" w:hAnsi="Arial" w:cs="Arial"/>
          <w:color w:val="000000"/>
          <w:highlight w:val="lightGray"/>
        </w:rPr>
        <w:t xml:space="preserve"> </w:t>
      </w:r>
      <w:r w:rsidRPr="005C3A70">
        <w:rPr>
          <w:rFonts w:ascii="Arial" w:eastAsia="Arial" w:hAnsi="Arial" w:cs="Arial"/>
          <w:color w:val="000000"/>
          <w:highlight w:val="lightGray"/>
        </w:rPr>
        <w:t>incorporan mecanismos de autorización, restricción y registro de dichas acciones, proporcionales al nivel de riesgo aprobado y al grado de autonomía asignado. El propietario del caso de uso define el alcance de las acciones autorizadas; la GA verifica su implementación antes del despliegue.</w:t>
      </w:r>
    </w:p>
    <w:p w14:paraId="3ADA6EC5" w14:textId="77777777" w:rsidR="005C3A70" w:rsidRPr="005C3A70" w:rsidRDefault="005C3A70" w:rsidP="005C3A70">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704801A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información protegida por confidencialidad aduanera, ni reglas de detección de riesgo cuya divulgación comprometa la función de control. La GA, con opinión de la INALI y de la Oficina de Seguridad Informática, determina la publicabilidad antes de cada liberación mayor; la GDS ejecuta la publicación cuando corresponda. </w:t>
      </w:r>
    </w:p>
    <w:p w14:paraId="53AB1498" w14:textId="77777777" w:rsidR="00863A18" w:rsidRPr="00923C59" w:rsidRDefault="00863A18" w:rsidP="00B23382">
      <w:pPr>
        <w:pStyle w:val="SubtituloDONI"/>
        <w:spacing w:line="276" w:lineRule="auto"/>
        <w:ind w:left="851"/>
      </w:pPr>
      <w:r>
        <w:t>6.6</w:t>
      </w:r>
      <w:r>
        <w:tab/>
        <w:t>De la supervisión humana</w:t>
      </w:r>
    </w:p>
    <w:p w14:paraId="6541E5CE"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6.6.1</w:t>
      </w:r>
      <w:r>
        <w:rPr>
          <w:rFonts w:ascii="Arial" w:eastAsia="Arial" w:hAnsi="Arial" w:cs="Arial"/>
          <w:color w:val="000000"/>
          <w:highlight w:val="yellow"/>
        </w:rPr>
        <w:tab/>
        <w:t>Todo SBIA cuenta con un mecanismo de supervisión humana proporcional a su nivel de riesgo. En los SBIA de riesgo alto que intervengan en decisiones con impacto significativo, la supervisión humana es obligatoria; su extensión a los demás SBIA de riesgo alto y a los de riesgo aceptable es una decisión institucional. La correspondencia es la siguiente:</w:t>
      </w:r>
    </w:p>
    <w:p w14:paraId="2C1A00D4" w14:textId="77777777" w:rsidR="00863A18" w:rsidRPr="00923C59" w:rsidRDefault="00863A18">
      <w:pPr>
        <w:pStyle w:val="Prrafodelista"/>
        <w:numPr>
          <w:ilvl w:val="0"/>
          <w:numId w:val="3"/>
        </w:numPr>
        <w:spacing w:after="40" w:line="276" w:lineRule="auto"/>
        <w:ind w:left="1701"/>
        <w:rPr>
          <w:b w:val="0"/>
          <w:bCs w:val="0"/>
          <w:color w:val="000000"/>
        </w:rPr>
      </w:pPr>
      <w:r>
        <w:rPr>
          <w:b w:val="0"/>
          <w:bCs w:val="0"/>
          <w:color w:val="000000"/>
        </w:rPr>
        <w:t>Human-</w:t>
      </w:r>
      <w:proofErr w:type="spellStart"/>
      <w:r>
        <w:rPr>
          <w:b w:val="0"/>
          <w:bCs w:val="0"/>
          <w:color w:val="000000"/>
        </w:rPr>
        <w:t>in-the-loop</w:t>
      </w:r>
      <w:proofErr w:type="spellEnd"/>
      <w:r>
        <w:rPr>
          <w:b w:val="0"/>
          <w:bCs w:val="0"/>
          <w:color w:val="000000"/>
        </w:rPr>
        <w:t xml:space="preserve"> (obligatorio para riesgo alto): Un supervisor humano valida cada decisión o resultado del SBIA antes de su ejecución o comunicación al administrado. Aplica a: selección de contribuyentes para fiscalización, determinación de deuda, clasificación arancelaria.</w:t>
      </w:r>
    </w:p>
    <w:p w14:paraId="7C9E9B8E"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Human-on-the-loop (obligatorio para riesgo aceptable-limitado): Un supervisor humano monitorea las operaciones del SBIA y puede intervenir ante anomalías, sin validar cada resultado individual. Aplica a: chatbots de atención, asistentes de orientación, preclasificación.</w:t>
      </w:r>
    </w:p>
    <w:p w14:paraId="6BC28EEB"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4"/>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6.7.1</w:t>
      </w:r>
      <w:r>
        <w:rPr>
          <w:rFonts w:ascii="Arial" w:eastAsia="Arial" w:hAnsi="Arial" w:cs="Arial"/>
          <w:color w:val="000000"/>
          <w:highlight w:val="cyan"/>
        </w:rPr>
        <w:tab/>
        <w:t>Los SBIA cumplen la Política de Seguridad de la Información (SGSI-PO-01) y el Manual de Políticas del Sistema de Gestión de Seguridad de la Información (SGSI-MA-03) de la SUNAT, así como los demás documentos normativos y lineamientos de dicho Sistema de Gestión, en sus versiones vigentes</w:t>
      </w:r>
      <w:r>
        <w:rPr>
          <w:rFonts w:ascii="Arial" w:eastAsia="Arial" w:hAnsi="Arial" w:cs="Arial"/>
          <w:color w:val="000000"/>
        </w:rPr>
        <w:t>.</w:t>
      </w:r>
    </w:p>
    <w:p w14:paraId="7E8CBEA9" w14:textId="75904C6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6.7.2</w:t>
      </w:r>
      <w:r>
        <w:rPr>
          <w:rFonts w:ascii="Arial" w:eastAsia="Arial" w:hAnsi="Arial" w:cs="Arial"/>
          <w:color w:val="000000"/>
          <w:highlight w:val="yellow"/>
        </w:rPr>
        <w:tab/>
        <w:t>Para SBIA de riesgo alto y de riesgo aceptable-limitado se requiere como mínimo: controles de contención (guardrails) de entrada y salida; controles de acceso basados en roles (RBAC); registro inmutable de auditoría (logs) de todas las interacciones; evaluación de vulnerabilidades conforme al OWASP Top 10 para aplicaciones LLM; red teaming previo al despliegue de SBIA de riesgo alto; y anonimización o 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87B4A9C"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t>Todo SBIA que procese reserva tributaria opera exclusivamente en infraestructura bajo control de la SUNAT.</w:t>
      </w:r>
    </w:p>
    <w:p w14:paraId="2CEA2E3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 Los controles reforzados del numeral 6.7.2 aplican adicionalmente a los SBIA de riesgo alto y aceptable-limitado.</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5"/>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w:t>
      </w:r>
      <w:r>
        <w:rPr>
          <w:rFonts w:ascii="Arial" w:eastAsia="Arial" w:hAnsi="Arial" w:cs="Arial"/>
          <w:color w:val="000000"/>
          <w:highlight w:val="cyan"/>
        </w:rPr>
        <w:lastRenderedPageBreak/>
        <w:t>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6"/>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7777777" w:rsidR="0084436F" w:rsidRDefault="0084436F" w:rsidP="0084436F">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6.7.7</w:t>
      </w:r>
      <w:r>
        <w:rPr>
          <w:rFonts w:ascii="Arial" w:eastAsia="Arial" w:hAnsi="Arial" w:cs="Arial"/>
          <w:color w:val="000000"/>
          <w:highlight w:val="cyan"/>
        </w:rPr>
        <w:tab/>
        <w:t>La Oficina de Seguridad Informática elabora y propone el documento normativo de seguridad informática para SBIA que desarrolla la forma de implementar y verificar los controles del numeral 6.7.2, conforme al artículo 106, literales a) y b), del ROF. En tanto no se apruebe, los SBIA observan los controles mínimos del referido numeral.</w:t>
      </w:r>
    </w:p>
    <w:p w14:paraId="36612602" w14:textId="77777777" w:rsidR="00931E16" w:rsidRDefault="00931E16" w:rsidP="00931E16">
      <w:pPr>
        <w:pStyle w:val="SubtituloDONI"/>
        <w:spacing w:line="276" w:lineRule="auto"/>
        <w:ind w:left="851"/>
      </w:pPr>
      <w:r>
        <w:rPr>
          <w:highlight w:val="yellow"/>
        </w:rPr>
        <w:t>6.8</w:t>
      </w:r>
      <w:r>
        <w:rPr>
          <w:highlight w:val="yellow"/>
        </w:rPr>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7"/>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8"/>
      </w:r>
      <w:r>
        <w:rPr>
          <w:rFonts w:ascii="Arial" w:eastAsia="Arial" w:hAnsi="Arial" w:cs="Arial"/>
          <w:color w:val="000000"/>
          <w:highlight w:val="yellow"/>
        </w:rPr>
        <w:t xml:space="preserve"> y asegura su calidad e integridad</w:t>
      </w:r>
      <w:r>
        <w:rPr>
          <w:rStyle w:val="Refdenotaalpie"/>
        </w:rPr>
        <w:footnoteReference w:id="9"/>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10"/>
      </w:r>
      <w:r>
        <w:rPr>
          <w:rFonts w:ascii="Arial" w:eastAsia="Arial" w:hAnsi="Arial" w:cs="Arial"/>
          <w:color w:val="000000"/>
          <w:highlight w:val="yellow"/>
        </w:rPr>
        <w:t>.</w:t>
      </w:r>
    </w:p>
    <w:p w14:paraId="3EFB2EA4" w14:textId="0D6386AE" w:rsidR="005C3A70" w:rsidRDefault="005C3A70" w:rsidP="005C3A70">
      <w:pPr>
        <w:tabs>
          <w:tab w:val="left" w:pos="1418"/>
        </w:tabs>
        <w:spacing w:after="60" w:line="276" w:lineRule="auto"/>
        <w:ind w:left="1276" w:hanging="709"/>
        <w:jc w:val="both"/>
        <w:rPr>
          <w:rFonts w:ascii="Arial" w:eastAsia="Arial" w:hAnsi="Arial" w:cs="Arial"/>
          <w:color w:val="000000"/>
          <w:highlight w:val="lightGray"/>
        </w:rPr>
      </w:pPr>
      <w:r w:rsidRPr="005C3A70">
        <w:rPr>
          <w:rFonts w:ascii="Arial" w:eastAsia="Arial" w:hAnsi="Arial" w:cs="Arial"/>
          <w:color w:val="000000"/>
          <w:highlight w:val="lightGray"/>
        </w:rPr>
        <w:t xml:space="preserve">6.8.5   Los conjuntos de datos que la SUNAT genere o administre y que califiquen como datos de alto valor se ponen a disposición a través del Centro Nacional de Datos (CND), previa determinación de su publicabilidad conforme al artículo 85 del TUO del Código Tributario y a la normativa de protección de datos </w:t>
      </w:r>
      <w:r w:rsidRPr="005C3A70">
        <w:rPr>
          <w:rFonts w:ascii="Arial" w:eastAsia="Arial" w:hAnsi="Arial" w:cs="Arial"/>
          <w:color w:val="000000"/>
          <w:highlight w:val="lightGray"/>
        </w:rPr>
        <w:lastRenderedPageBreak/>
        <w:t>personales. El OGD identifica los conjuntos candidatos y propone al CGTD su publicación.</w:t>
      </w:r>
    </w:p>
    <w:p w14:paraId="6FEA09F8" w14:textId="30858903" w:rsidR="00670027" w:rsidRP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1"/>
      </w:r>
      <w:r>
        <w:rPr>
          <w:rFonts w:ascii="Arial" w:eastAsia="Arial" w:hAnsi="Arial" w:cs="Arial"/>
          <w:color w:val="000000"/>
          <w:highlight w:val="yellow"/>
        </w:rPr>
        <w:t>. La descripción de dichos mecanismos consta en la Ficha de Registro de SBIA (Anexo N.° 1).</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77777777" w:rsidR="00836DA1"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1D36064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6.9.5</w:t>
      </w:r>
      <w:r>
        <w:rPr>
          <w:rFonts w:ascii="Arial" w:eastAsia="Arial" w:hAnsi="Arial" w:cs="Arial"/>
          <w:color w:val="000000"/>
        </w:rPr>
        <w:tab/>
        <w:t>La Comisión de Gobierno de IA presenta al CGTD un informe trimestral con: estado del Inventario, incidentes, resultados de monitoreo, avance de capacitación y cumplimiento de indicadores.</w:t>
      </w:r>
    </w:p>
    <w:p w14:paraId="3C9C3B6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6.9.6</w:t>
      </w:r>
      <w:r>
        <w:rPr>
          <w:rFonts w:ascii="Arial" w:eastAsia="Arial" w:hAnsi="Arial" w:cs="Arial"/>
          <w:color w:val="000000"/>
          <w:highlight w:val="yellow"/>
        </w:rPr>
        <w:tab/>
        <w:t xml:space="preserve">El CGTD presenta un informe anual a la SN sobre el estado del gobierno de IA institucional, en ejercicio de su responsabilidad de liderar, dirigir, evaluar y </w:t>
      </w:r>
      <w:r>
        <w:rPr>
          <w:rFonts w:ascii="Arial" w:eastAsia="Arial" w:hAnsi="Arial" w:cs="Arial"/>
          <w:color w:val="000000"/>
          <w:highlight w:val="yellow"/>
        </w:rPr>
        <w:lastRenderedPageBreak/>
        <w:t>supervisar los proyectos de SBIA estratégicos</w:t>
      </w:r>
      <w:r>
        <w:rPr>
          <w:rStyle w:val="Refdenotaalpie"/>
        </w:rPr>
        <w:footnoteReference w:id="12"/>
      </w:r>
      <w:r>
        <w:rPr>
          <w:rFonts w:ascii="Arial" w:eastAsia="Arial" w:hAnsi="Arial" w:cs="Arial"/>
          <w:color w:val="000000"/>
          <w:highlight w:val="yellow"/>
        </w:rPr>
        <w:t>. Dicho informe sirve de insumo para la información que la SUNAT remita a la SGTD.</w:t>
      </w:r>
    </w:p>
    <w:p w14:paraId="50A05F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3"/>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6AE15AD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6.10.1</w:t>
      </w:r>
      <w:r>
        <w:rPr>
          <w:rFonts w:ascii="Arial" w:eastAsia="Arial" w:hAnsi="Arial" w:cs="Arial"/>
          <w:color w:val="000000"/>
          <w:highlight w:val="yellow"/>
        </w:rPr>
        <w:tab/>
        <w:t>La Comisión de Gobierno de IA define la frecuencia de monitoreo según el nivel de riesgo:</w:t>
      </w:r>
    </w:p>
    <w:p w14:paraId="6268090E"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 xml:space="preserve">Riesgo alto: monitoreo </w:t>
      </w:r>
      <w:proofErr w:type="gramStart"/>
      <w:r>
        <w:rPr>
          <w:b w:val="0"/>
          <w:bCs w:val="0"/>
          <w:color w:val="000000"/>
          <w:highlight w:val="yellow"/>
        </w:rPr>
        <w:t>continuo</w:t>
      </w:r>
      <w:proofErr w:type="gramEnd"/>
      <w:r>
        <w:rPr>
          <w:b w:val="0"/>
          <w:bCs w:val="0"/>
          <w:color w:val="000000"/>
          <w:highlight w:val="yellow"/>
        </w:rPr>
        <w:t xml:space="preserve"> automatizado con revisión humana semanal y revisión integral trimestral.</w:t>
      </w:r>
    </w:p>
    <w:p w14:paraId="4C305B97"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aceptable-limitado: revisión mensual de indicadores y revisión integral semestral.</w:t>
      </w:r>
    </w:p>
    <w:p w14:paraId="76369335" w14:textId="77777777" w:rsidR="0018147B" w:rsidRDefault="00000000">
      <w:pPr>
        <w:pStyle w:val="Prrafodelista"/>
        <w:numPr>
          <w:ilvl w:val="0"/>
          <w:numId w:val="11"/>
        </w:numPr>
        <w:spacing w:before="0" w:after="60" w:line="276" w:lineRule="auto"/>
        <w:ind w:left="1701"/>
        <w:rPr>
          <w:b w:val="0"/>
          <w:bCs w:val="0"/>
          <w:color w:val="000000"/>
        </w:rPr>
      </w:pPr>
      <w:r>
        <w:rPr>
          <w:b w:val="0"/>
          <w:bCs w:val="0"/>
          <w:color w:val="000000"/>
          <w:highlight w:val="yellow"/>
        </w:rPr>
        <w:t>Riesgo aceptable-mínimo: revisión trimestral de indicadores y revisión integral anual.</w:t>
      </w:r>
    </w:p>
    <w:p w14:paraId="26BA52EA" w14:textId="77777777" w:rsidR="00467C46" w:rsidRPr="00923C59" w:rsidRDefault="00467C46" w:rsidP="00B23382">
      <w:pPr>
        <w:spacing w:after="0" w:line="276" w:lineRule="auto"/>
        <w:ind w:left="1276" w:hanging="720"/>
        <w:jc w:val="both"/>
        <w:rPr>
          <w:rFonts w:ascii="Arial" w:hAnsi="Arial" w:cs="Arial"/>
        </w:rPr>
      </w:pPr>
      <w:r>
        <w:rPr>
          <w:rFonts w:ascii="Arial" w:eastAsia="Arial" w:hAnsi="Arial" w:cs="Arial"/>
          <w:color w:val="000000"/>
        </w:rPr>
        <w:t>6.10.2</w:t>
      </w:r>
      <w:r>
        <w:rPr>
          <w:rFonts w:ascii="Arial" w:eastAsia="Arial" w:hAnsi="Arial" w:cs="Arial"/>
          <w:color w:val="000000"/>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0B9298C6" w14:textId="2FA1D904" w:rsidR="0018147B" w:rsidRDefault="00000000" w:rsidP="00AE1F2D">
      <w:pPr>
        <w:spacing w:after="0" w:line="276" w:lineRule="auto"/>
        <w:ind w:left="1276"/>
        <w:jc w:val="both"/>
        <w:rPr>
          <w:rFonts w:ascii="Arial" w:eastAsia="Arial" w:hAnsi="Arial" w:cs="Arial"/>
          <w:color w:val="000000"/>
        </w:rPr>
      </w:pPr>
      <w:r>
        <w:rPr>
          <w:rFonts w:ascii="Arial" w:eastAsia="Arial" w:hAnsi="Arial" w:cs="Arial"/>
          <w:color w:val="000000"/>
          <w:highlight w:val="yellow"/>
        </w:rPr>
        <w:t>El análisis de riesgo y las pruebas de vulnerabilidad sobre cada SBIA corresponden a la Oficina de Seguridad Informática, conforme a la etapa de certificación y validación del numeral 6.1.1. Con la concurrencia de ambas actividades y del monitoreo previsto en el numeral 6.10, la SUNAT satisface la obligación de auditorías de seguridad digital del literal c) del artículo 29 del RLIA.</w:t>
      </w:r>
      <w:r w:rsidR="00532CB5">
        <w:rPr>
          <w:rFonts w:ascii="Arial" w:eastAsia="Arial" w:hAnsi="Arial" w:cs="Arial"/>
          <w:color w:val="000000"/>
          <w:highlight w:val="yellow"/>
        </w:rPr>
        <w:t xml:space="preserve"> </w:t>
      </w:r>
      <w:r>
        <w:rPr>
          <w:rFonts w:ascii="Arial" w:eastAsia="Arial" w:hAnsi="Arial" w:cs="Arial"/>
          <w:color w:val="000000"/>
          <w:highlight w:val="yellow"/>
        </w:rPr>
        <w:t>Los resultados de las auditorías alimentan el informe trimestral de la Comisión de Gobierno de IA al CGTD.</w:t>
      </w:r>
    </w:p>
    <w:p w14:paraId="38DF30B6" w14:textId="77777777" w:rsidR="00532CB5" w:rsidRDefault="00532CB5" w:rsidP="00AE1F2D">
      <w:pPr>
        <w:spacing w:after="0" w:line="276" w:lineRule="auto"/>
        <w:ind w:left="1276"/>
        <w:jc w:val="both"/>
        <w:rPr>
          <w:rFonts w:ascii="Arial" w:eastAsia="Arial" w:hAnsi="Arial" w:cs="Arial"/>
          <w:color w:val="000000"/>
        </w:rPr>
      </w:pP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 xml:space="preserve">6.10.4 Todo cambio sobre un SBIA en operación se gestiona de manera controlada y proporcional a su nivel de riesgo. Constituyen cambio, entre otros, el reentrenamiento o la recalibración del modelo, su sustitución o el cambio de </w:t>
      </w:r>
      <w:r w:rsidRPr="00532CB5">
        <w:rPr>
          <w:rFonts w:ascii="Arial" w:hAnsi="Arial" w:cs="Arial"/>
          <w:highlight w:val="lightGray"/>
        </w:rPr>
        <w:lastRenderedPageBreak/>
        <w:t>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48924DD9" w14:textId="77777777" w:rsidR="0018147B" w:rsidRPr="00F9075F" w:rsidRDefault="00000000">
      <w:pPr>
        <w:pStyle w:val="Prrafodelista"/>
        <w:numPr>
          <w:ilvl w:val="0"/>
          <w:numId w:val="5"/>
        </w:numPr>
        <w:spacing w:before="0" w:after="40" w:line="276" w:lineRule="auto"/>
        <w:ind w:left="1701"/>
        <w:rPr>
          <w:b w:val="0"/>
          <w:bCs w:val="0"/>
        </w:rPr>
      </w:pPr>
      <w:r>
        <w:rPr>
          <w:b w:val="0"/>
          <w:bCs w:val="0"/>
          <w:color w:val="000000"/>
          <w:highlight w:val="cyan"/>
        </w:rPr>
        <w:t>No ingresar información sujeta a reserva tributaria ni datos personales de contribuyentes u operadores aduaneros en herramientas de IA que no estén autorizadas para ese tratamiento en el catálogo institucional. El catálogo indica, para cada herramienta, los tipos de información que puede procesar. El tratamiento de información sujeta a reserva tributaria se rige por el numeral 6.7.3.</w:t>
      </w:r>
    </w:p>
    <w:p w14:paraId="2FC15DE4"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6.11.2</w:t>
      </w:r>
      <w:r>
        <w:rPr>
          <w:rFonts w:ascii="Arial" w:eastAsia="Arial" w:hAnsi="Arial" w:cs="Arial"/>
          <w:color w:val="000000"/>
          <w:highlight w:val="yellow"/>
        </w:rPr>
        <w:tab/>
        <w:t>El catálogo de herramientas de IA autorizadas para uso institucional registra las herramientas aprobadas conforme al numeral 6.11.5. El catálogo precisa, para cada herramienta, el ámbito de uso autorizado (uso administrativo general o uso restringido) y si su empleo con información sujeta a reserva tributaria está permitido, en concordancia con los numerales 6.11.1 y 6.7.3. La INSI lo publica y lo mantiene actualizado.</w:t>
      </w:r>
    </w:p>
    <w:p w14:paraId="4BCC2079"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6.11.3</w:t>
      </w:r>
      <w:r>
        <w:rPr>
          <w:rFonts w:ascii="Arial" w:eastAsia="Arial" w:hAnsi="Arial" w:cs="Arial"/>
          <w:color w:val="000000"/>
        </w:rPr>
        <w:tab/>
        <w:t>La INSI aprueba y mantiene los lineamientos técnicos que regulan el uso de LLM open source en su infraestructura. Las unidades de organización los cumplen como condición para el despliegue de estos modelos.</w:t>
      </w:r>
      <w:r>
        <w:rPr>
          <w:rFonts w:ascii="Arial" w:eastAsia="Arial" w:hAnsi="Arial" w:cs="Arial"/>
          <w:color w:val="000000"/>
          <w:highlight w:val="cyan"/>
        </w:rPr>
        <w:t xml:space="preserve"> El despliegue de estos modelos observa, en lo que corresponda, el Procedimiento para el Registro, Control y Retiro de Software de la SUNAT (A-03.3.2-PR-01).</w:t>
      </w:r>
    </w:p>
    <w:p w14:paraId="7106A4EF"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6.11.4</w:t>
      </w:r>
      <w:r>
        <w:rPr>
          <w:rFonts w:ascii="Arial" w:eastAsia="Arial" w:hAnsi="Arial" w:cs="Arial"/>
          <w:color w:val="000000"/>
          <w:highlight w:val="yellow"/>
        </w:rPr>
        <w:tab/>
        <w:t>Ninguna unidad organizacional desarrolla, adquiere, contrata, implementa u opera SBIA fuera del límite de la presente directiva, independientemente de su complejidad, presupuesto o ámbito geográfico. En particular: (a) toda iniciativa de SBIA como proyecto requiere aprobación conforme al ciclo de vida del numeral 6.1 y registro en el Inventario Institucional; (b) toda contratación de servicios de IA como herramienta (suscripciones, APIs, plataformas SaaS) requiere autorización previa de la INSI e inclusión en el catálogo institucional (numeral 6.11.2). Los colaboradores utilizan exclusivamente las herramientas de IA que figuran en dicho catálogo. La Comisión de Gobierno de IA promueve la regularización mediante el registro y el acompañamiento proporcional a la unidad involucrada. Los incumplimientos reiterados o que impliquen uso indebido se comunican al CGTD y, según corresponda, a la OII.</w:t>
      </w:r>
    </w:p>
    <w:p w14:paraId="26F26301" w14:textId="7777777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La GA aprueba las herramientas de IA que pueden emplearse en la SUNAT, conforme a sus funciones (artículo 130, literal c, del ROF), y las registra en el catálogo institucional de herramientas de IA. La Gerencia de Operaciones y Soporte a Usuarios asegura que los equipos informáticos tengan instalado únicamente software autorizado. 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El registro, el control y el retiro de las herramientas de IA como software se rigen por el Procedimiento para el Registro, Control y Retiro de Software de la SUNAT (A-03.3.2-PR-01).</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378F374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6.12.2</w:t>
      </w:r>
      <w:r>
        <w:rPr>
          <w:rFonts w:ascii="Arial" w:eastAsia="Arial" w:hAnsi="Arial" w:cs="Arial"/>
          <w:color w:val="000000"/>
          <w:highlight w:val="yellow"/>
        </w:rPr>
        <w:tab/>
        <w:t>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El plazo de notificación de vulnerabilidades se define en los TDR o EETT de cada contratación, según la criticidad del SBIA.</w:t>
      </w:r>
    </w:p>
    <w:p w14:paraId="0C47E374"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t>Los contratos prohíben al proveedor emplear la información de la SUNAT (en particular la sujeta a reserva tributaria y los datos personales) para entrenar, ajustar o mejorar sus modelos o para cualquier fin propio, 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6.12.5</w:t>
      </w:r>
      <w:r>
        <w:rPr>
          <w:rFonts w:ascii="Arial" w:eastAsia="Arial" w:hAnsi="Arial" w:cs="Arial"/>
          <w:color w:val="000000"/>
          <w:highlight w:val="yellow"/>
        </w:rPr>
        <w:tab/>
        <w:t xml:space="preserve">Para los SBIA de riesgo alto, el proveedor entrega la documentación técnica que permita comprender la lógica general del modelo y los factores que influyen </w:t>
      </w:r>
      <w:r>
        <w:rPr>
          <w:rFonts w:ascii="Arial" w:eastAsia="Arial" w:hAnsi="Arial" w:cs="Arial"/>
          <w:color w:val="000000"/>
          <w:highlight w:val="yellow"/>
        </w:rPr>
        <w:lastRenderedPageBreak/>
        <w:t>en sus resultados, en la medida necesaria para el cumplimiento de las obligaciones de transparencia y explicabilidad de la SUNAT, evitando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AB5DBB">
      <w:pPr>
        <w:pStyle w:val="Prrafodelista"/>
        <w:numPr>
          <w:ilvl w:val="0"/>
          <w:numId w:val="26"/>
        </w:numPr>
        <w:spacing w:before="0" w:line="276" w:lineRule="auto"/>
        <w:ind w:left="1560"/>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AB5DBB">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77777777" w:rsidR="00462A57" w:rsidRPr="00833CDE" w:rsidRDefault="00462A57" w:rsidP="00AB5DBB">
      <w:pPr>
        <w:tabs>
          <w:tab w:val="left" w:pos="1276"/>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incorpora los requerimientos establecidos en el numeral 28.9 del artículo 28 del Reglamento y adopta medidas adicionales de sensibilización orientadas a promover el uso seguro, responsable y ético de los sistemas basados en 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lastRenderedPageBreak/>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4"/>
      </w:r>
      <w:r>
        <w:rPr>
          <w:rFonts w:ascii="Arial" w:eastAsia="Arial" w:hAnsi="Arial" w:cs="Arial"/>
          <w:color w:val="000000"/>
          <w:highlight w:val="yellow"/>
        </w:rPr>
        <w:t>.</w:t>
      </w:r>
    </w:p>
    <w:p w14:paraId="60F5B515" w14:textId="69680126"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t>La SUNAT promueve que su personal cumpla las normas del Código de Ética de la Función Pública, su Reglamento y las normas de integridad en el desarrollo, la implementación y el uso de los SBIA</w:t>
      </w:r>
      <w:r>
        <w:rPr>
          <w:rStyle w:val="Refdenotaalpie"/>
        </w:rPr>
        <w:footnoteReference w:id="15"/>
      </w:r>
      <w:r>
        <w:rPr>
          <w:rFonts w:ascii="Arial" w:eastAsia="Arial" w:hAnsi="Arial" w:cs="Arial"/>
          <w:color w:val="000000"/>
          <w:highlight w:val="yellow"/>
        </w:rPr>
        <w:t>.</w:t>
      </w:r>
      <w:r w:rsidR="002555BF">
        <w:rPr>
          <w:rFonts w:ascii="Arial" w:eastAsia="Arial" w:hAnsi="Arial" w:cs="Arial"/>
          <w:color w:val="000000"/>
          <w:highlight w:val="yellow"/>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6"/>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w:t>
      </w:r>
      <w:r>
        <w:rPr>
          <w:rFonts w:ascii="Arial" w:eastAsia="Arial" w:hAnsi="Arial" w:cs="Arial"/>
          <w:color w:val="000000"/>
          <w:highlight w:val="yellow"/>
        </w:rPr>
        <w:lastRenderedPageBreak/>
        <w:t>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0B52A45D"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 los numerales 6.6, 6.9 y 6.10.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3EEB5A9B"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Favorable con condiciones, que identifica los controles que la clasificación de riesgo determina y cuya implementación se verifica en el hito de aprobación previo al despliegue, conforme al numeral 6.1.2. 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77777777" w:rsidR="006D44AB" w:rsidRDefault="006D44AB" w:rsidP="006D44AB">
      <w:pPr>
        <w:tabs>
          <w:tab w:val="left" w:pos="1276"/>
        </w:tabs>
        <w:spacing w:after="60" w:line="276" w:lineRule="auto"/>
        <w:ind w:left="1276"/>
        <w:jc w:val="both"/>
        <w:rPr>
          <w:rFonts w:ascii="Arial" w:hAnsi="Arial" w:cs="Arial"/>
        </w:rPr>
      </w:pPr>
      <w:r w:rsidRPr="006D44AB">
        <w:rPr>
          <w:rFonts w:ascii="Arial" w:hAnsi="Arial" w:cs="Arial"/>
          <w:highlight w:val="green"/>
        </w:rPr>
        <w:t>El uso indebido está prohibido por el artículo 23 del RLIA y los controles reforzados son obligatorios por su artículo 24: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 xml:space="preserve">6.15.2 En la gestión de la demanda informática, cuando un requerimiento implique el desarrollo, la adquisición o el uso de un SBIA o de una herramienta de IA, se recaba la opinión de la Comisión antes de su atención, con los formatos </w:t>
      </w:r>
      <w:r w:rsidRPr="002D136C">
        <w:rPr>
          <w:rFonts w:ascii="Arial" w:hAnsi="Arial" w:cs="Arial"/>
          <w:highlight w:val="lightGray"/>
        </w:rPr>
        <w:lastRenderedPageBreak/>
        <w:t>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77777777" w:rsidR="00670027" w:rsidRDefault="00326739" w:rsidP="00A72414">
      <w:pPr>
        <w:spacing w:after="60" w:line="276" w:lineRule="auto"/>
        <w:ind w:left="1276" w:hanging="709"/>
        <w:jc w:val="both"/>
        <w:rPr>
          <w:rFonts w:ascii="Arial" w:hAnsi="Arial" w:cs="Arial"/>
        </w:rPr>
      </w:pPr>
      <w:r w:rsidRPr="00A72414">
        <w:rPr>
          <w:rFonts w:ascii="Arial" w:hAnsi="Arial" w:cs="Arial"/>
          <w:highlight w:val="lightGray"/>
        </w:rPr>
        <w:t>6.15.5</w:t>
      </w:r>
      <w:r w:rsidR="00A72414">
        <w:rPr>
          <w:rFonts w:ascii="Arial" w:hAnsi="Arial" w:cs="Arial"/>
          <w:highlight w:val="lightGray"/>
        </w:rPr>
        <w:t xml:space="preserve"> </w:t>
      </w:r>
      <w:r w:rsidRPr="00A72414">
        <w:rPr>
          <w:rFonts w:ascii="Arial" w:hAnsi="Arial" w:cs="Arial"/>
          <w:highlight w:val="lightGray"/>
        </w:rPr>
        <w:t xml:space="preserve">Las unidades competentes de cada instrumento incorporan en sus </w:t>
      </w:r>
      <w:r w:rsidR="00A72414">
        <w:rPr>
          <w:rFonts w:ascii="Arial" w:hAnsi="Arial" w:cs="Arial"/>
          <w:highlight w:val="lightGray"/>
        </w:rPr>
        <w:t xml:space="preserve">documentos normativos </w:t>
      </w:r>
      <w:r w:rsidRPr="00A72414">
        <w:rPr>
          <w:rFonts w:ascii="Arial" w:hAnsi="Arial" w:cs="Arial"/>
          <w:highlight w:val="lightGray"/>
        </w:rPr>
        <w:t>la verificación del componente de IA y la opinión de la Comisión, según sus competencias y sin afectar los sistemas administrativos del Estado, conforme al numeral 7.6</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lastRenderedPageBreak/>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2A1080FA" w:rsidR="00CB040E" w:rsidRPr="00CB040E" w:rsidRDefault="00CB040E" w:rsidP="00180A95">
      <w:pPr>
        <w:pStyle w:val="SubtituloDONI"/>
        <w:spacing w:line="276" w:lineRule="auto"/>
        <w:ind w:left="851"/>
        <w:rPr>
          <w:b w:val="0"/>
          <w:bCs w:val="0"/>
          <w:highlight w:val="cyan"/>
        </w:rPr>
      </w:pPr>
      <w:r>
        <w:rPr>
          <w:b w:val="0"/>
          <w:bCs w:val="0"/>
          <w:highlight w:val="cyan"/>
        </w:rPr>
        <w:t>7.4</w:t>
      </w:r>
      <w:r>
        <w:rPr>
          <w:b w:val="0"/>
          <w:bCs w:val="0"/>
          <w:highlight w:val="cyan"/>
        </w:rPr>
        <w:tab/>
      </w:r>
      <w:r w:rsidR="00180A95" w:rsidRPr="00180A95">
        <w:rPr>
          <w:b w:val="0"/>
          <w:bCs w:val="0"/>
          <w:highlight w:val="cyan"/>
        </w:rPr>
        <w:t>El Sistema de Gestión de Inteligencia Artificial (SGIA) de la SUNAT toma como marco de referencia la NTP-ISO/IEC 42001:2025, adaptada al alcance, la complejidad y el contexto institucional.</w:t>
      </w:r>
      <w:r w:rsidRPr="00180A95">
        <w:rPr>
          <w:b w:val="0"/>
          <w:bCs w:val="0"/>
          <w:highlight w:val="cyan"/>
        </w:rPr>
        <w:t xml:space="preserve"> La </w:t>
      </w:r>
      <w:r>
        <w:rPr>
          <w:b w:val="0"/>
          <w:bCs w:val="0"/>
          <w:highlight w:val="cyan"/>
        </w:rPr>
        <w:t>Comisión de Gobierno de IA propone al CGTD el plan de implementación del SGIA, con hitos y responsables,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106BA7D5" w:rsidR="00836DA1" w:rsidRDefault="00000000">
      <w:pPr>
        <w:pStyle w:val="SubtituloDONI"/>
        <w:spacing w:line="276" w:lineRule="auto"/>
        <w:ind w:left="851"/>
        <w:rPr>
          <w:b w:val="0"/>
          <w:bCs w:val="0"/>
        </w:rPr>
      </w:pPr>
      <w:r>
        <w:rPr>
          <w:color w:val="000000"/>
          <w:highlight w:val="cyan"/>
        </w:rPr>
        <w:t>7.6</w:t>
      </w:r>
      <w:r>
        <w:rPr>
          <w:color w:val="000000"/>
          <w:highlight w:val="cyan"/>
        </w:rPr>
        <w:tab/>
      </w:r>
      <w:r>
        <w:rPr>
          <w:b w:val="0"/>
          <w:bCs w:val="0"/>
          <w:color w:val="000000"/>
          <w:highlight w:val="cyan"/>
        </w:rPr>
        <w:t xml:space="preserve">Las unidades de organización a las que la presente directiva asigna una responsabilidad desarrollan y aprueban, en el ámbito de las competencias que les reconoce el ROF, los documentos normativos institucionales de menor rango (metodologías, guías metodológicas, procedimientos, instructivos y lineamientos temporales) que establecen la forma de ejecutar dicha responsabilidad, conforme a la METDONI.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6C344B" w:rsidRPr="006C344B">
        <w:rPr>
          <w:b w:val="0"/>
          <w:bCs w:val="0"/>
          <w:color w:val="000000"/>
          <w:highlight w:val="cyan"/>
        </w:rPr>
        <w:t>Los encargos son los previstos en las disposiciones específicas de la presente directiva; su plazo se establece mediante acuerdo del Comité de Gobierno y Transformación Digital.</w:t>
      </w:r>
      <w:r w:rsidR="006C344B" w:rsidRPr="006C344B">
        <w:rPr>
          <w:rFonts w:asciiTheme="minorHAnsi" w:eastAsiaTheme="minorEastAsia" w:hAnsiTheme="minorHAnsi" w:cstheme="minorBidi"/>
          <w:b w:val="0"/>
          <w:bCs w:val="0"/>
          <w:highlight w:val="cya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w:t>
      </w:r>
      <w:r>
        <w:rPr>
          <w:b w:val="0"/>
          <w:bCs w:val="0"/>
          <w:highlight w:val="yellow"/>
        </w:rPr>
        <w:lastRenderedPageBreak/>
        <w:t>lineamientos que emita la SGTD-PCM, en aplicación de la Primera Disposición Complementaria Final de la citada Estrategia. En tanto no se emitan dichos lineamientos, las funciones de coordinación técnica en materia de IA son ejercidas por el Coordinador de la Comisión de Gobierno de IA.</w:t>
      </w:r>
      <w:r>
        <w:rPr>
          <w:rFonts w:asciiTheme="minorHAnsi" w:eastAsiaTheme="minorEastAsia" w:hAnsiTheme="minorHAnsi" w:cstheme="minorBidi"/>
          <w:b w:val="0"/>
          <w:bCs w:val="0"/>
          <w:highlight w:val="yellow"/>
        </w:rPr>
        <w:t xml:space="preserve"> </w:t>
      </w:r>
      <w:r>
        <w:rPr>
          <w:b w:val="0"/>
          <w:bCs w:val="0"/>
          <w:highlight w:val="yellow"/>
        </w:rPr>
        <w:t>Emitidos dichos lineamientos y designado el OIA, la Comisión de Gobierno de IA evalúa su articulación conforme a ellos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77777777" w:rsidR="0018147B" w:rsidRDefault="00000000">
            <w:pPr>
              <w:spacing w:before="20" w:after="20" w:line="276" w:lineRule="auto"/>
              <w:rPr>
                <w:rFonts w:ascii="Arial" w:hAnsi="Arial" w:cs="Arial"/>
              </w:rPr>
            </w:pPr>
            <w:r>
              <w:rPr>
                <w:rFonts w:ascii="Arial" w:eastAsia="Arial" w:hAnsi="Arial" w:cs="Arial"/>
                <w:highlight w:val="yellow"/>
              </w:rPr>
              <w:t>Uso indebido (Art. 23), Alto (Art. 24) o Aceptable (Art. 22.2; subnivel limitado o mínimo).</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w:t>
            </w:r>
            <w:proofErr w:type="spellStart"/>
            <w:r>
              <w:rPr>
                <w:rFonts w:ascii="Arial" w:eastAsia="Arial" w:hAnsi="Arial" w:cs="Arial"/>
                <w:lang w:val="en-US"/>
              </w:rPr>
              <w:t>in-the-loop</w:t>
            </w:r>
            <w:proofErr w:type="spellEnd"/>
            <w:r>
              <w:rPr>
                <w:rFonts w:ascii="Arial" w:eastAsia="Arial" w:hAnsi="Arial" w:cs="Arial"/>
                <w:lang w:val="en-US"/>
              </w:rPr>
              <w:t xml:space="preserve">,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923C59" w:rsidRDefault="00863A18" w:rsidP="00B23382">
            <w:pPr>
              <w:spacing w:before="20" w:after="20" w:line="276" w:lineRule="auto"/>
              <w:rPr>
                <w:rFonts w:ascii="Arial" w:hAnsi="Arial" w:cs="Arial"/>
              </w:rPr>
            </w:pPr>
            <w:r>
              <w:rPr>
                <w:rFonts w:ascii="Arial" w:eastAsia="Arial" w:hAnsi="Arial" w:cs="Arial"/>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Última auditoría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7777777" w:rsidR="00863A18" w:rsidRPr="00923C59" w:rsidRDefault="00863A18" w:rsidP="00B23382">
            <w:pPr>
              <w:spacing w:before="20" w:after="20" w:line="276" w:lineRule="auto"/>
              <w:rPr>
                <w:rFonts w:ascii="Arial" w:hAnsi="Arial" w:cs="Arial"/>
              </w:rPr>
            </w:pPr>
            <w:r>
              <w:rPr>
                <w:rFonts w:ascii="Arial" w:eastAsia="Arial" w:hAnsi="Arial" w:cs="Arial"/>
              </w:rPr>
              <w:t>Fecha de la última auditoría técnica.</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923C59" w:rsidRDefault="00863A18" w:rsidP="00B23382">
            <w:pPr>
              <w:spacing w:before="20" w:after="20" w:line="276" w:lineRule="auto"/>
              <w:rPr>
                <w:rFonts w:ascii="Arial" w:hAnsi="Arial" w:cs="Arial"/>
              </w:rPr>
            </w:pPr>
            <w:r>
              <w:rPr>
                <w:rFonts w:ascii="Arial" w:eastAsia="Arial" w:hAnsi="Arial" w:cs="Arial"/>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Responsable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unidad de organización en INSI.</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58CEBE69"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Versión vigente y ultimo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7"/>
        <w:gridCol w:w="1757"/>
        <w:gridCol w:w="1758"/>
        <w:gridCol w:w="1758"/>
        <w:gridCol w:w="1758"/>
      </w:tblGrid>
      <w:tr w:rsidR="00863A18" w:rsidRPr="00923C59" w14:paraId="0C990816" w14:textId="77777777" w:rsidTr="00E0746A">
        <w:trPr>
          <w:tblHeader/>
        </w:trPr>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Criterio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mínimo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85B746" w14:textId="77777777" w:rsidR="0018147B" w:rsidRDefault="00000000">
            <w:pPr>
              <w:spacing w:before="20" w:after="20" w:line="276" w:lineRule="auto"/>
              <w:rPr>
                <w:rFonts w:ascii="Arial" w:hAnsi="Arial" w:cs="Arial"/>
              </w:rPr>
            </w:pPr>
            <w:r>
              <w:rPr>
                <w:rFonts w:ascii="Arial" w:eastAsia="Arial" w:hAnsi="Arial" w:cs="Arial"/>
                <w:b/>
                <w:bCs/>
                <w:highlight w:val="yellow"/>
              </w:rPr>
              <w:t>Riesgo aceptable — limitado</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18147B" w:rsidRDefault="00000000">
            <w:pPr>
              <w:spacing w:before="20" w:after="20" w:line="276" w:lineRule="auto"/>
              <w:rPr>
                <w:rFonts w:ascii="Arial" w:hAnsi="Arial" w:cs="Arial"/>
              </w:rPr>
            </w:pPr>
            <w:r>
              <w:rPr>
                <w:rFonts w:ascii="Arial" w:eastAsia="Arial" w:hAnsi="Arial" w:cs="Arial"/>
                <w:b/>
                <w:bCs/>
                <w:highlight w:val="yellow"/>
              </w:rPr>
              <w:t>Riesgo alto (Art. 24)</w:t>
            </w:r>
          </w:p>
        </w:tc>
        <w:tc>
          <w:tcPr>
            <w:tcW w:w="175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18147B" w:rsidRDefault="00000000">
            <w:pPr>
              <w:spacing w:before="20" w:after="20" w:line="276" w:lineRule="auto"/>
              <w:rPr>
                <w:rFonts w:ascii="Arial" w:hAnsi="Arial" w:cs="Arial"/>
              </w:rPr>
            </w:pPr>
            <w:r>
              <w:rPr>
                <w:rFonts w:ascii="Arial" w:eastAsia="Arial" w:hAnsi="Arial" w:cs="Arial"/>
                <w:b/>
                <w:bCs/>
                <w:highlight w:val="cyan"/>
              </w:rPr>
              <w:t>Uso indebido (Art. 23)</w:t>
            </w:r>
          </w:p>
        </w:tc>
      </w:tr>
      <w:tr w:rsidR="00863A18" w:rsidRPr="00923C59" w14:paraId="6638A516"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Impacto en derechos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77777777" w:rsidR="00863A18" w:rsidRPr="00923C59" w:rsidRDefault="00863A18" w:rsidP="00B23382">
            <w:pPr>
              <w:spacing w:before="20" w:after="20" w:line="276" w:lineRule="auto"/>
              <w:rPr>
                <w:rFonts w:ascii="Arial" w:hAnsi="Arial" w:cs="Arial"/>
              </w:rPr>
            </w:pPr>
            <w:r>
              <w:rPr>
                <w:rFonts w:ascii="Arial" w:eastAsia="Arial" w:hAnsi="Arial" w:cs="Arial"/>
              </w:rPr>
              <w:t>Sin impacto directo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2A6917" w14:textId="77777777" w:rsidR="00863A18" w:rsidRPr="00923C59" w:rsidRDefault="00863A18" w:rsidP="00B23382">
            <w:pPr>
              <w:spacing w:before="20" w:after="20" w:line="276" w:lineRule="auto"/>
              <w:rPr>
                <w:rFonts w:ascii="Arial" w:hAnsi="Arial" w:cs="Arial"/>
              </w:rPr>
            </w:pPr>
            <w:r>
              <w:rPr>
                <w:rFonts w:ascii="Arial" w:eastAsia="Arial" w:hAnsi="Arial" w:cs="Arial"/>
              </w:rPr>
              <w:t>Impacto informativo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863A18" w:rsidRPr="00923C59" w:rsidRDefault="00863A18" w:rsidP="00B23382">
            <w:pPr>
              <w:spacing w:before="20" w:after="20" w:line="276" w:lineRule="auto"/>
              <w:rPr>
                <w:rFonts w:ascii="Arial" w:hAnsi="Arial" w:cs="Arial"/>
              </w:rPr>
            </w:pPr>
            <w:r>
              <w:rPr>
                <w:rFonts w:ascii="Arial" w:eastAsia="Arial" w:hAnsi="Arial" w:cs="Arial"/>
              </w:rPr>
              <w:t>Impacto significativo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863A18" w:rsidRPr="00923C59" w:rsidRDefault="00863A18" w:rsidP="00B23382">
            <w:pPr>
              <w:spacing w:before="20" w:after="20" w:line="276" w:lineRule="auto"/>
              <w:rPr>
                <w:rFonts w:ascii="Arial" w:hAnsi="Arial" w:cs="Arial"/>
              </w:rPr>
            </w:pPr>
            <w:r>
              <w:rPr>
                <w:rFonts w:ascii="Arial" w:eastAsia="Arial" w:hAnsi="Arial" w:cs="Arial"/>
              </w:rPr>
              <w:t>Vulneración grave de derechos fundamentales</w:t>
            </w:r>
          </w:p>
        </w:tc>
      </w:tr>
      <w:tr w:rsidR="00863A18" w:rsidRPr="00923C59" w14:paraId="49715B64"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Autonomía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77777777" w:rsidR="00863A18" w:rsidRPr="00923C59" w:rsidRDefault="00863A18" w:rsidP="00B23382">
            <w:pPr>
              <w:spacing w:before="20" w:after="20" w:line="276" w:lineRule="auto"/>
              <w:rPr>
                <w:rFonts w:ascii="Arial" w:hAnsi="Arial" w:cs="Arial"/>
              </w:rPr>
            </w:pPr>
            <w:r>
              <w:rPr>
                <w:rFonts w:ascii="Arial" w:eastAsia="Arial" w:hAnsi="Arial" w:cs="Arial"/>
              </w:rPr>
              <w:t>Solo asistencia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9F23D6" w14:textId="77777777" w:rsidR="00863A18" w:rsidRPr="00923C59" w:rsidRDefault="00863A18" w:rsidP="00B23382">
            <w:pPr>
              <w:spacing w:before="20" w:after="20" w:line="276" w:lineRule="auto"/>
              <w:rPr>
                <w:rFonts w:ascii="Arial" w:hAnsi="Arial" w:cs="Arial"/>
              </w:rPr>
            </w:pPr>
            <w:r>
              <w:rPr>
                <w:rFonts w:ascii="Arial" w:eastAsia="Arial" w:hAnsi="Arial" w:cs="Arial"/>
              </w:rPr>
              <w:t>Interacción directa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863A18" w:rsidRPr="00923C59" w:rsidRDefault="00863A18" w:rsidP="00B23382">
            <w:pPr>
              <w:spacing w:before="20" w:after="20" w:line="276" w:lineRule="auto"/>
              <w:rPr>
                <w:rFonts w:ascii="Arial" w:hAnsi="Arial" w:cs="Arial"/>
              </w:rPr>
            </w:pPr>
            <w:r>
              <w:rPr>
                <w:rFonts w:ascii="Arial" w:eastAsia="Arial" w:hAnsi="Arial" w:cs="Arial"/>
              </w:rPr>
              <w:t>Influencia en decisiones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863A18" w:rsidRPr="00923C59" w:rsidRDefault="00863A18" w:rsidP="00B23382">
            <w:pPr>
              <w:spacing w:before="20" w:after="20" w:line="276" w:lineRule="auto"/>
              <w:rPr>
                <w:rFonts w:ascii="Arial" w:hAnsi="Arial" w:cs="Arial"/>
              </w:rPr>
            </w:pPr>
            <w:r>
              <w:rPr>
                <w:rFonts w:ascii="Arial" w:eastAsia="Arial" w:hAnsi="Arial" w:cs="Arial"/>
              </w:rPr>
              <w:t>Decisión autónoma sin supervisión</w:t>
            </w:r>
          </w:p>
        </w:tc>
      </w:tr>
      <w:tr w:rsidR="00863A18" w:rsidRPr="00923C59" w14:paraId="08BDA6A8"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77777777" w:rsidR="00863A18" w:rsidRPr="00923C59" w:rsidRDefault="00863A18" w:rsidP="00B23382">
            <w:pPr>
              <w:spacing w:before="20" w:after="20" w:line="276" w:lineRule="auto"/>
              <w:rPr>
                <w:rFonts w:ascii="Arial" w:hAnsi="Arial" w:cs="Arial"/>
              </w:rPr>
            </w:pPr>
            <w:r>
              <w:rPr>
                <w:rFonts w:ascii="Arial" w:eastAsia="Arial" w:hAnsi="Arial" w:cs="Arial"/>
              </w:rPr>
              <w:t>Públicos / no sensibles</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AEC651" w14:textId="77777777" w:rsidR="00863A18" w:rsidRPr="00923C59" w:rsidRDefault="00863A18" w:rsidP="00B23382">
            <w:pPr>
              <w:spacing w:before="20" w:after="20" w:line="276" w:lineRule="auto"/>
              <w:rPr>
                <w:rFonts w:ascii="Arial" w:hAnsi="Arial" w:cs="Arial"/>
              </w:rPr>
            </w:pPr>
            <w:r>
              <w:rPr>
                <w:rFonts w:ascii="Arial" w:eastAsia="Arial" w:hAnsi="Arial" w:cs="Arial"/>
              </w:rPr>
              <w:t>Generales de interacción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863A18" w:rsidRPr="00923C59" w:rsidRDefault="00863A18" w:rsidP="00B23382">
            <w:pPr>
              <w:spacing w:before="20" w:after="20" w:line="276" w:lineRule="auto"/>
              <w:rPr>
                <w:rFonts w:ascii="Arial" w:hAnsi="Arial" w:cs="Arial"/>
              </w:rPr>
            </w:pPr>
            <w:r>
              <w:rPr>
                <w:rFonts w:ascii="Arial" w:eastAsia="Arial" w:hAnsi="Arial" w:cs="Arial"/>
              </w:rPr>
              <w:t>Personales, reserva tributaria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863A18" w:rsidRPr="00923C59" w:rsidRDefault="00863A18" w:rsidP="00B23382">
            <w:pPr>
              <w:spacing w:before="20" w:after="20" w:line="276" w:lineRule="auto"/>
              <w:rPr>
                <w:rFonts w:ascii="Arial" w:hAnsi="Arial" w:cs="Arial"/>
              </w:rPr>
            </w:pPr>
            <w:r>
              <w:rPr>
                <w:rFonts w:ascii="Arial" w:eastAsia="Arial" w:hAnsi="Arial" w:cs="Arial"/>
              </w:rPr>
              <w:t>Biométricos para inferir condiciones protegidas</w:t>
            </w:r>
          </w:p>
        </w:tc>
      </w:tr>
      <w:tr w:rsidR="00863A18" w:rsidRPr="00923C59" w14:paraId="3ABE4675"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Reversibilidad</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77777777" w:rsidR="00863A18" w:rsidRPr="00923C59" w:rsidRDefault="00863A18" w:rsidP="00B23382">
            <w:pPr>
              <w:spacing w:before="20" w:after="20" w:line="276" w:lineRule="auto"/>
              <w:rPr>
                <w:rFonts w:ascii="Arial" w:hAnsi="Arial" w:cs="Arial"/>
              </w:rPr>
            </w:pPr>
            <w:r>
              <w:rPr>
                <w:rFonts w:ascii="Arial" w:eastAsia="Arial" w:hAnsi="Arial" w:cs="Arial"/>
              </w:rPr>
              <w:t>Totalmente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4398DB" w14:textId="77777777" w:rsidR="00863A18" w:rsidRPr="00923C59" w:rsidRDefault="00863A18" w:rsidP="00B23382">
            <w:pPr>
              <w:spacing w:before="20" w:after="20" w:line="276" w:lineRule="auto"/>
              <w:rPr>
                <w:rFonts w:ascii="Arial" w:hAnsi="Arial" w:cs="Arial"/>
              </w:rPr>
            </w:pPr>
            <w:r>
              <w:rPr>
                <w:rFonts w:ascii="Arial" w:eastAsia="Arial" w:hAnsi="Arial" w:cs="Arial"/>
              </w:rPr>
              <w:t>Fácilmente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863A18" w:rsidRPr="00923C59" w:rsidRDefault="00863A18" w:rsidP="00B23382">
            <w:pPr>
              <w:spacing w:before="20" w:after="20" w:line="276" w:lineRule="auto"/>
              <w:rPr>
                <w:rFonts w:ascii="Arial" w:hAnsi="Arial" w:cs="Arial"/>
              </w:rPr>
            </w:pPr>
            <w:r>
              <w:rPr>
                <w:rFonts w:ascii="Arial" w:eastAsia="Arial" w:hAnsi="Arial" w:cs="Arial"/>
              </w:rPr>
              <w:t>Difícilmente reversible</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863A18" w:rsidRPr="00923C59" w:rsidRDefault="00863A18" w:rsidP="00B23382">
            <w:pPr>
              <w:spacing w:before="20" w:after="20" w:line="276" w:lineRule="auto"/>
              <w:rPr>
                <w:rFonts w:ascii="Arial" w:hAnsi="Arial" w:cs="Arial"/>
              </w:rPr>
            </w:pPr>
            <w:r>
              <w:rPr>
                <w:rFonts w:ascii="Arial" w:eastAsia="Arial" w:hAnsi="Arial" w:cs="Arial"/>
              </w:rPr>
              <w:t>Irreversible o daño grave</w:t>
            </w:r>
          </w:p>
        </w:tc>
      </w:tr>
      <w:tr w:rsidR="00863A18" w:rsidRPr="00923C59" w14:paraId="7590BC3A" w14:textId="77777777" w:rsidTr="00E0746A">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Escala</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bajo volumen</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F40757" w14:textId="77777777" w:rsidR="00863A18" w:rsidRPr="00923C59" w:rsidRDefault="00863A18" w:rsidP="00B23382">
            <w:pPr>
              <w:spacing w:before="20" w:after="20" w:line="276" w:lineRule="auto"/>
              <w:rPr>
                <w:rFonts w:ascii="Arial" w:hAnsi="Arial" w:cs="Arial"/>
              </w:rPr>
            </w:pPr>
            <w:r>
              <w:rPr>
                <w:rFonts w:ascii="Arial" w:eastAsia="Arial" w:hAnsi="Arial" w:cs="Arial"/>
              </w:rPr>
              <w:t>Individual, volumen medio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863A18" w:rsidRPr="00923C59" w:rsidRDefault="00863A18" w:rsidP="00B23382">
            <w:pPr>
              <w:spacing w:before="20" w:after="20" w:line="276" w:lineRule="auto"/>
              <w:rPr>
                <w:rFonts w:ascii="Arial" w:hAnsi="Arial" w:cs="Arial"/>
              </w:rPr>
            </w:pPr>
            <w:r>
              <w:rPr>
                <w:rFonts w:ascii="Arial" w:eastAsia="Arial" w:hAnsi="Arial" w:cs="Arial"/>
              </w:rPr>
              <w:t>Colectivo o masivo</w:t>
            </w:r>
          </w:p>
        </w:tc>
        <w:tc>
          <w:tcPr>
            <w:tcW w:w="175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863A18" w:rsidRPr="00923C59" w:rsidRDefault="00863A18"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12369CCE"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42A556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Aprobaciones: firmas del propietario, la Comisión de Gobierno de IA, la OII e INALI.</w:t>
      </w:r>
    </w:p>
    <w:p w14:paraId="771AACE6" w14:textId="77777777" w:rsidR="00863A18" w:rsidRPr="00923C59" w:rsidRDefault="00863A18" w:rsidP="00B23382">
      <w:pPr>
        <w:spacing w:line="276" w:lineRule="auto"/>
        <w:rPr>
          <w:rFonts w:ascii="Arial" w:hAnsi="Arial" w:cs="Arial"/>
        </w:rPr>
      </w:pPr>
      <w:r>
        <w:rPr>
          <w:rFonts w:ascii="Arial" w:hAnsi="Arial" w:cs="Arial"/>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rPr>
        <w:lastRenderedPageBreak/>
        <w:t>Anexo N.° 4: Ficha de Evaluación de Caso de Uso de SBIA</w:t>
      </w:r>
    </w:p>
    <w:p w14:paraId="4E934914" w14:textId="5B0D16A5" w:rsidR="00174519" w:rsidRPr="00923C59" w:rsidRDefault="00174519" w:rsidP="00174519">
      <w:pPr>
        <w:spacing w:before="200" w:after="120" w:line="276" w:lineRule="auto"/>
        <w:jc w:val="both"/>
        <w:rPr>
          <w:rFonts w:ascii="Arial" w:hAnsi="Arial" w:cs="Arial"/>
        </w:rPr>
      </w:pPr>
      <w:r w:rsidRPr="00174519">
        <w:rPr>
          <w:rFonts w:ascii="Arial" w:hAnsi="Arial" w:cs="Arial"/>
          <w:highlight w:val="lightGray"/>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w:t>
      </w:r>
      <w:r w:rsidRPr="00174519">
        <w:rPr>
          <w:rFonts w:ascii="Arial" w:hAnsi="Arial" w:cs="Arial"/>
        </w:rPr>
        <w:t>.</w:t>
      </w:r>
    </w:p>
    <w:p w14:paraId="0F6F71B1" w14:textId="77777777" w:rsidR="00863A18" w:rsidRPr="00923C59" w:rsidRDefault="00863A18" w:rsidP="00B23382">
      <w:pPr>
        <w:spacing w:after="40" w:line="276" w:lineRule="auto"/>
        <w:jc w:val="both"/>
        <w:rPr>
          <w:rFonts w:ascii="Arial" w:hAnsi="Arial" w:cs="Arial"/>
        </w:rPr>
      </w:pPr>
      <w:r>
        <w:rPr>
          <w:rFonts w:ascii="Arial" w:eastAsia="Arial" w:hAnsi="Arial" w:cs="Arial"/>
          <w:b/>
          <w:bCs/>
          <w:color w:val="000000"/>
        </w:rPr>
        <w:t>Sección 1 — Identificación:</w:t>
      </w:r>
    </w:p>
    <w:p w14:paraId="41695B88" w14:textId="77777777" w:rsidR="00863A18" w:rsidRPr="00923C59" w:rsidRDefault="00863A18">
      <w:pPr>
        <w:pStyle w:val="Prrafodelista"/>
        <w:numPr>
          <w:ilvl w:val="0"/>
          <w:numId w:val="7"/>
        </w:numPr>
        <w:spacing w:after="40" w:line="276" w:lineRule="auto"/>
        <w:rPr>
          <w:b w:val="0"/>
          <w:bCs w:val="0"/>
        </w:rPr>
      </w:pPr>
      <w:r>
        <w:rPr>
          <w:b w:val="0"/>
          <w:bCs w:val="0"/>
          <w:color w:val="000000"/>
        </w:rPr>
        <w:t>Denominación del caso de uso.</w:t>
      </w:r>
    </w:p>
    <w:p w14:paraId="01E94E25" w14:textId="77777777" w:rsidR="00863A18" w:rsidRPr="00923C59" w:rsidRDefault="00863A18">
      <w:pPr>
        <w:pStyle w:val="Prrafodelista"/>
        <w:numPr>
          <w:ilvl w:val="0"/>
          <w:numId w:val="7"/>
        </w:numPr>
        <w:spacing w:after="40" w:line="276" w:lineRule="auto"/>
        <w:rPr>
          <w:b w:val="0"/>
          <w:bCs w:val="0"/>
        </w:rPr>
      </w:pPr>
      <w:r>
        <w:rPr>
          <w:b w:val="0"/>
          <w:bCs w:val="0"/>
          <w:color w:val="000000"/>
        </w:rPr>
        <w:t>Unidad de organización solicitante (propietario del caso de uso).</w:t>
      </w:r>
    </w:p>
    <w:p w14:paraId="6E679DD5"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funcional (nombre, cargo, correo).</w:t>
      </w:r>
    </w:p>
    <w:p w14:paraId="181EDDA9" w14:textId="77777777" w:rsidR="00863A18" w:rsidRPr="00923C59" w:rsidRDefault="00863A18">
      <w:pPr>
        <w:pStyle w:val="Prrafodelista"/>
        <w:numPr>
          <w:ilvl w:val="0"/>
          <w:numId w:val="7"/>
        </w:numPr>
        <w:spacing w:after="40" w:line="276" w:lineRule="auto"/>
        <w:rPr>
          <w:b w:val="0"/>
          <w:bCs w:val="0"/>
        </w:rPr>
      </w:pPr>
      <w:r>
        <w:rPr>
          <w:b w:val="0"/>
          <w:bCs w:val="0"/>
          <w:color w:val="000000"/>
        </w:rPr>
        <w:t>Fecha de presentación.</w:t>
      </w:r>
    </w:p>
    <w:p w14:paraId="732A4860" w14:textId="77777777" w:rsidR="00863A18" w:rsidRPr="00923C59" w:rsidRDefault="00863A18" w:rsidP="00B23382">
      <w:pPr>
        <w:spacing w:before="120" w:after="40" w:line="276" w:lineRule="auto"/>
        <w:jc w:val="both"/>
        <w:rPr>
          <w:rFonts w:ascii="Arial" w:hAnsi="Arial" w:cs="Arial"/>
        </w:rPr>
      </w:pPr>
      <w:r>
        <w:rPr>
          <w:rFonts w:ascii="Arial" w:eastAsia="Arial" w:hAnsi="Arial" w:cs="Arial"/>
          <w:b/>
          <w:bCs/>
          <w:color w:val="000000"/>
        </w:rPr>
        <w:t>Sección 2 — Problema y justificación:</w:t>
      </w:r>
    </w:p>
    <w:p w14:paraId="38277C9E" w14:textId="77777777" w:rsidR="00863A18" w:rsidRPr="00923C59" w:rsidRDefault="00863A18">
      <w:pPr>
        <w:pStyle w:val="Prrafodelista"/>
        <w:numPr>
          <w:ilvl w:val="0"/>
          <w:numId w:val="7"/>
        </w:numPr>
        <w:spacing w:after="40" w:line="276" w:lineRule="auto"/>
        <w:rPr>
          <w:b w:val="0"/>
          <w:bCs w:val="0"/>
        </w:rPr>
      </w:pPr>
      <w:r>
        <w:rPr>
          <w:b w:val="0"/>
          <w:bCs w:val="0"/>
          <w:color w:val="000000"/>
        </w:rPr>
        <w:t>Descripción del problema o necesidad que se busca resolver.</w:t>
      </w:r>
    </w:p>
    <w:p w14:paraId="5DE4890C" w14:textId="77777777" w:rsidR="00863A18" w:rsidRPr="00923C59" w:rsidRDefault="00863A18">
      <w:pPr>
        <w:pStyle w:val="Prrafodelista"/>
        <w:numPr>
          <w:ilvl w:val="0"/>
          <w:numId w:val="7"/>
        </w:numPr>
        <w:spacing w:after="40" w:line="276" w:lineRule="auto"/>
        <w:rPr>
          <w:b w:val="0"/>
          <w:bCs w:val="0"/>
        </w:rPr>
      </w:pPr>
      <w:r>
        <w:rPr>
          <w:b w:val="0"/>
          <w:bCs w:val="0"/>
          <w:color w:val="000000"/>
        </w:rPr>
        <w:t>Situación actual (línea base): volumen de operaciones, tiempo promedio, recursos asignados.</w:t>
      </w:r>
    </w:p>
    <w:p w14:paraId="236A6E6C" w14:textId="77777777" w:rsidR="00863A18" w:rsidRPr="00923C59" w:rsidRDefault="00863A18">
      <w:pPr>
        <w:pStyle w:val="Prrafodelista"/>
        <w:numPr>
          <w:ilvl w:val="0"/>
          <w:numId w:val="7"/>
        </w:numPr>
        <w:spacing w:after="40" w:line="276" w:lineRule="auto"/>
        <w:rPr>
          <w:b w:val="0"/>
          <w:bCs w:val="0"/>
        </w:rPr>
      </w:pPr>
      <w:r>
        <w:rPr>
          <w:b w:val="0"/>
          <w:bCs w:val="0"/>
          <w:color w:val="000000"/>
        </w:rPr>
        <w:t>Objetivo estratégico del PEI con el que se alinea (código y denominación).</w:t>
      </w:r>
    </w:p>
    <w:p w14:paraId="451AEFA3"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3 — Impacto organizacional:</w:t>
      </w:r>
    </w:p>
    <w:p w14:paraId="35682837" w14:textId="77777777" w:rsidR="0018147B" w:rsidRDefault="00000000">
      <w:pPr>
        <w:pStyle w:val="Prrafodelista"/>
        <w:numPr>
          <w:ilvl w:val="0"/>
          <w:numId w:val="7"/>
        </w:numPr>
        <w:spacing w:after="40" w:line="276" w:lineRule="auto"/>
        <w:rPr>
          <w:b w:val="0"/>
          <w:bCs w:val="0"/>
        </w:rPr>
      </w:pPr>
      <w:r>
        <w:rPr>
          <w:b w:val="0"/>
          <w:bCs w:val="0"/>
          <w:color w:val="000000"/>
          <w:highlight w:val="yellow"/>
        </w:rPr>
        <w:t>Precisar si la iniciativa genera impacto organizacional e identificar los procesos, áreas, puestos, personas y capacidades técnicas involucrados.</w:t>
      </w:r>
    </w:p>
    <w:p w14:paraId="77DBA450"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4 — Generación de valor:</w:t>
      </w:r>
    </w:p>
    <w:p w14:paraId="403B8534"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 esperado cuantificado: horas-persona liberadas, reducción de tiempos de proceso, mejora en tasas de detección, incremento de recaudación estimada u otro indicador medible.</w:t>
      </w:r>
    </w:p>
    <w:p w14:paraId="4671E459" w14:textId="77777777" w:rsidR="00863A18" w:rsidRPr="00923C59" w:rsidRDefault="00863A18">
      <w:pPr>
        <w:pStyle w:val="Prrafodelista"/>
        <w:numPr>
          <w:ilvl w:val="0"/>
          <w:numId w:val="7"/>
        </w:numPr>
        <w:spacing w:after="40" w:line="276" w:lineRule="auto"/>
        <w:rPr>
          <w:b w:val="0"/>
          <w:bCs w:val="0"/>
        </w:rPr>
      </w:pPr>
      <w:r>
        <w:rPr>
          <w:b w:val="0"/>
          <w:bCs w:val="0"/>
          <w:color w:val="000000"/>
        </w:rPr>
        <w:t>Beneficios cualitativos complementarios (si aplica).</w:t>
      </w:r>
    </w:p>
    <w:p w14:paraId="1A51F69D" w14:textId="77777777" w:rsidR="0018147B" w:rsidRDefault="00000000">
      <w:pPr>
        <w:pStyle w:val="Prrafodelista"/>
        <w:numPr>
          <w:ilvl w:val="0"/>
          <w:numId w:val="7"/>
        </w:numPr>
        <w:spacing w:after="40" w:line="276" w:lineRule="auto"/>
        <w:rPr>
          <w:b w:val="0"/>
          <w:bCs w:val="0"/>
        </w:rPr>
      </w:pPr>
      <w:r>
        <w:rPr>
          <w:b w:val="0"/>
          <w:bCs w:val="0"/>
          <w:color w:val="000000"/>
          <w:highlight w:val="yellow"/>
        </w:rPr>
        <w:t>El beneficio puede sustentarse a nivel de un conjunto o programa de SBIA cuando la iniciativa forme parte de un portafolio institucional.</w:t>
      </w:r>
    </w:p>
    <w:p w14:paraId="556E9510" w14:textId="77777777" w:rsidR="00863A18" w:rsidRPr="00923C59" w:rsidRDefault="00863A18">
      <w:pPr>
        <w:pStyle w:val="Prrafodelista"/>
        <w:numPr>
          <w:ilvl w:val="0"/>
          <w:numId w:val="7"/>
        </w:numPr>
        <w:spacing w:after="40" w:line="276" w:lineRule="auto"/>
        <w:rPr>
          <w:b w:val="0"/>
          <w:bCs w:val="0"/>
        </w:rPr>
      </w:pPr>
      <w:r>
        <w:rPr>
          <w:b w:val="0"/>
          <w:bCs w:val="0"/>
          <w:color w:val="000000"/>
        </w:rPr>
        <w:t>Métrica de éxito propuesta y plazo de medición.</w:t>
      </w:r>
    </w:p>
    <w:p w14:paraId="0E597137"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5 — Inversión y sostenibilidad:</w:t>
      </w:r>
    </w:p>
    <w:p w14:paraId="1858FBC3"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inversión inicial (infraestructura, licencias, servicios, horas de desarrollo</w:t>
      </w:r>
      <w:r>
        <w:rPr>
          <w:b w:val="0"/>
          <w:bCs w:val="0"/>
          <w:highlight w:val="cyan"/>
        </w:rPr>
        <w:t>/servicios de desarrollo).</w:t>
      </w:r>
    </w:p>
    <w:p w14:paraId="28BF24D5" w14:textId="77777777" w:rsidR="00863A18" w:rsidRPr="00923C59" w:rsidRDefault="00863A18">
      <w:pPr>
        <w:pStyle w:val="Prrafodelista"/>
        <w:numPr>
          <w:ilvl w:val="0"/>
          <w:numId w:val="7"/>
        </w:numPr>
        <w:spacing w:after="40" w:line="276" w:lineRule="auto"/>
        <w:rPr>
          <w:b w:val="0"/>
          <w:bCs w:val="0"/>
        </w:rPr>
      </w:pPr>
      <w:r>
        <w:rPr>
          <w:b w:val="0"/>
          <w:bCs w:val="0"/>
          <w:color w:val="000000"/>
        </w:rPr>
        <w:t>Estimación de costos recurrentes anuales (operación, mantenimiento, licencias, personal dedicado).</w:t>
      </w:r>
    </w:p>
    <w:p w14:paraId="47F4D3AC" w14:textId="77777777" w:rsidR="00863A18" w:rsidRPr="00923C59" w:rsidRDefault="00863A18">
      <w:pPr>
        <w:pStyle w:val="Prrafodelista"/>
        <w:numPr>
          <w:ilvl w:val="0"/>
          <w:numId w:val="7"/>
        </w:numPr>
        <w:spacing w:after="40" w:line="276" w:lineRule="auto"/>
        <w:rPr>
          <w:b w:val="0"/>
          <w:bCs w:val="0"/>
        </w:rPr>
      </w:pPr>
      <w:r>
        <w:rPr>
          <w:b w:val="0"/>
          <w:bCs w:val="0"/>
          <w:color w:val="000000"/>
        </w:rPr>
        <w:t>Fuente de financiamiento identificada.</w:t>
      </w:r>
    </w:p>
    <w:p w14:paraId="16695497" w14:textId="77777777" w:rsidR="00863A18" w:rsidRPr="00923C59" w:rsidRDefault="00863A18">
      <w:pPr>
        <w:pStyle w:val="Prrafodelista"/>
        <w:numPr>
          <w:ilvl w:val="0"/>
          <w:numId w:val="7"/>
        </w:numPr>
        <w:spacing w:after="40" w:line="276" w:lineRule="auto"/>
        <w:rPr>
          <w:b w:val="0"/>
          <w:bCs w:val="0"/>
        </w:rPr>
      </w:pPr>
      <w:r>
        <w:rPr>
          <w:b w:val="0"/>
          <w:bCs w:val="0"/>
          <w:color w:val="000000"/>
        </w:rPr>
        <w:t>Responsable de la operación y mantenimiento post-despliegue.</w:t>
      </w:r>
    </w:p>
    <w:p w14:paraId="61DED5EF"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6 — Análisis de alternativas:</w:t>
      </w:r>
    </w:p>
    <w:p w14:paraId="3CC20AB1" w14:textId="77777777" w:rsidR="00863A18" w:rsidRPr="00923C59" w:rsidRDefault="00863A18">
      <w:pPr>
        <w:pStyle w:val="Prrafodelista"/>
        <w:numPr>
          <w:ilvl w:val="0"/>
          <w:numId w:val="7"/>
        </w:numPr>
        <w:spacing w:after="40" w:line="276" w:lineRule="auto"/>
        <w:rPr>
          <w:b w:val="0"/>
          <w:bCs w:val="0"/>
        </w:rPr>
      </w:pPr>
      <w:r>
        <w:rPr>
          <w:b w:val="0"/>
          <w:bCs w:val="0"/>
          <w:color w:val="000000"/>
        </w:rPr>
        <w:t>¿Se evaluaron soluciones que no requieren IA? Describir.</w:t>
      </w:r>
    </w:p>
    <w:p w14:paraId="7B20EC1C" w14:textId="77777777" w:rsidR="00863A18" w:rsidRPr="00923C59" w:rsidRDefault="00863A18">
      <w:pPr>
        <w:pStyle w:val="Prrafodelista"/>
        <w:numPr>
          <w:ilvl w:val="0"/>
          <w:numId w:val="7"/>
        </w:numPr>
        <w:spacing w:after="40" w:line="276" w:lineRule="auto"/>
        <w:rPr>
          <w:b w:val="0"/>
          <w:bCs w:val="0"/>
        </w:rPr>
      </w:pPr>
      <w:r>
        <w:rPr>
          <w:b w:val="0"/>
          <w:bCs w:val="0"/>
          <w:color w:val="000000"/>
        </w:rPr>
        <w:t>Justificación de por qué una solución basada en IA es preferible frente a las alternativas.</w:t>
      </w:r>
    </w:p>
    <w:p w14:paraId="390ED6C6"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lastRenderedPageBreak/>
        <w:t>Sección 7 — Datos y riesgos preliminares:</w:t>
      </w:r>
    </w:p>
    <w:p w14:paraId="0952334A" w14:textId="77777777" w:rsidR="00863A18" w:rsidRPr="00923C59" w:rsidRDefault="00863A18">
      <w:pPr>
        <w:pStyle w:val="Prrafodelista"/>
        <w:numPr>
          <w:ilvl w:val="0"/>
          <w:numId w:val="7"/>
        </w:numPr>
        <w:spacing w:after="40" w:line="276" w:lineRule="auto"/>
        <w:rPr>
          <w:b w:val="0"/>
          <w:bCs w:val="0"/>
        </w:rPr>
      </w:pPr>
      <w:r>
        <w:rPr>
          <w:b w:val="0"/>
          <w:bCs w:val="0"/>
          <w:color w:val="000000"/>
        </w:rPr>
        <w:t>Datos requeridos (fuentes, tipos, presencia de datos personales o reserva tributaria).</w:t>
      </w:r>
    </w:p>
    <w:p w14:paraId="31864AB1" w14:textId="77777777" w:rsidR="00863A18" w:rsidRPr="00923C59" w:rsidRDefault="00863A18">
      <w:pPr>
        <w:pStyle w:val="Prrafodelista"/>
        <w:numPr>
          <w:ilvl w:val="0"/>
          <w:numId w:val="7"/>
        </w:numPr>
        <w:spacing w:after="40" w:line="276" w:lineRule="auto"/>
        <w:rPr>
          <w:b w:val="0"/>
          <w:bCs w:val="0"/>
        </w:rPr>
      </w:pPr>
      <w:r>
        <w:rPr>
          <w:b w:val="0"/>
          <w:bCs w:val="0"/>
          <w:color w:val="000000"/>
        </w:rPr>
        <w:t>Riesgos preliminares identificados.</w:t>
      </w:r>
    </w:p>
    <w:p w14:paraId="07EC339C" w14:textId="77777777" w:rsidR="00863A18" w:rsidRPr="00923C59" w:rsidRDefault="00863A18">
      <w:pPr>
        <w:pStyle w:val="Prrafodelista"/>
        <w:numPr>
          <w:ilvl w:val="0"/>
          <w:numId w:val="7"/>
        </w:numPr>
        <w:spacing w:after="40" w:line="276" w:lineRule="auto"/>
        <w:rPr>
          <w:b w:val="0"/>
          <w:bCs w:val="0"/>
        </w:rPr>
      </w:pPr>
      <w:r>
        <w:rPr>
          <w:b w:val="0"/>
          <w:bCs w:val="0"/>
          <w:color w:val="000000"/>
        </w:rPr>
        <w:t>Clasificación de riesgo preliminar sugerida por el propietario.</w:t>
      </w:r>
    </w:p>
    <w:p w14:paraId="0B8489D8" w14:textId="77777777" w:rsidR="0018147B" w:rsidRDefault="00000000">
      <w:pPr>
        <w:spacing w:before="120" w:after="40" w:line="276" w:lineRule="auto"/>
        <w:jc w:val="both"/>
        <w:rPr>
          <w:rFonts w:ascii="Arial" w:hAnsi="Arial" w:cs="Arial"/>
        </w:rPr>
      </w:pPr>
      <w:r>
        <w:rPr>
          <w:rFonts w:ascii="Arial" w:eastAsia="Arial" w:hAnsi="Arial" w:cs="Arial"/>
          <w:b/>
          <w:bCs/>
          <w:color w:val="000000"/>
          <w:highlight w:val="yellow"/>
        </w:rPr>
        <w:t>Sección 8 — Firmas:</w:t>
      </w:r>
    </w:p>
    <w:p w14:paraId="76A8D059" w14:textId="77777777" w:rsidR="00863A18" w:rsidRPr="00923C59" w:rsidRDefault="00863A18">
      <w:pPr>
        <w:pStyle w:val="Prrafodelista"/>
        <w:numPr>
          <w:ilvl w:val="0"/>
          <w:numId w:val="7"/>
        </w:numPr>
        <w:spacing w:after="40" w:line="276" w:lineRule="auto"/>
        <w:rPr>
          <w:b w:val="0"/>
          <w:bCs w:val="0"/>
        </w:rPr>
      </w:pPr>
      <w:r>
        <w:rPr>
          <w:b w:val="0"/>
          <w:bCs w:val="0"/>
          <w:color w:val="000000"/>
        </w:rPr>
        <w:t>Firma del propietario del caso de uso.</w:t>
      </w:r>
    </w:p>
    <w:p w14:paraId="454DDEF7" w14:textId="77777777" w:rsidR="00863A18" w:rsidRPr="00923C59" w:rsidRDefault="00863A18">
      <w:pPr>
        <w:pStyle w:val="Prrafodelista"/>
        <w:numPr>
          <w:ilvl w:val="0"/>
          <w:numId w:val="7"/>
        </w:numPr>
        <w:spacing w:after="40" w:line="276" w:lineRule="auto"/>
      </w:pPr>
      <w:r>
        <w:rPr>
          <w:b w:val="0"/>
          <w:bCs w:val="0"/>
          <w:color w:val="000000"/>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66711" w14:textId="77777777" w:rsidR="007F75BC" w:rsidRDefault="007F75BC">
      <w:pPr>
        <w:spacing w:after="0" w:line="240" w:lineRule="auto"/>
      </w:pPr>
      <w:r>
        <w:separator/>
      </w:r>
    </w:p>
  </w:endnote>
  <w:endnote w:type="continuationSeparator" w:id="0">
    <w:p w14:paraId="1048CF47" w14:textId="77777777" w:rsidR="007F75BC" w:rsidRDefault="007F7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F8102" w14:textId="77777777" w:rsidR="007F75BC" w:rsidRDefault="007F75BC">
      <w:pPr>
        <w:spacing w:after="0" w:line="240" w:lineRule="auto"/>
      </w:pPr>
      <w:r>
        <w:separator/>
      </w:r>
    </w:p>
  </w:footnote>
  <w:footnote w:type="continuationSeparator" w:id="0">
    <w:p w14:paraId="53CA0A13" w14:textId="77777777" w:rsidR="007F75BC" w:rsidRDefault="007F75BC">
      <w:pPr>
        <w:spacing w:after="0" w:line="240" w:lineRule="auto"/>
      </w:pPr>
      <w:r>
        <w:continuationSeparator/>
      </w:r>
    </w:p>
  </w:footnote>
  <w:footnote w:id="1">
    <w:p w14:paraId="4793C922" w14:textId="77777777" w:rsidR="00594919" w:rsidRDefault="00000000">
      <w:pPr>
        <w:pStyle w:val="Textonotapie"/>
      </w:pPr>
      <w:r>
        <w:rPr>
          <w:rStyle w:val="Refdenotaalpie"/>
        </w:rPr>
        <w:footnoteRef/>
      </w:r>
      <w:r>
        <w:rPr>
          <w:rFonts w:ascii="Arial" w:hAnsi="Arial" w:cs="Arial"/>
        </w:rPr>
        <w:t xml:space="preserve"> Numeral 30.1 del artículo 30 del RLIA.</w:t>
      </w:r>
    </w:p>
  </w:footnote>
  <w:footnote w:id="2">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3">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4">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5">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6">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7">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8">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9">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10">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1">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2">
    <w:p w14:paraId="7F2FB2B9" w14:textId="77777777" w:rsidR="00594919" w:rsidRDefault="00000000">
      <w:pPr>
        <w:pStyle w:val="Textonotapie"/>
      </w:pPr>
      <w:r>
        <w:rPr>
          <w:rStyle w:val="Refdenotaalpie"/>
        </w:rPr>
        <w:footnoteRef/>
      </w:r>
      <w:r>
        <w:rPr>
          <w:rFonts w:ascii="Arial" w:hAnsi="Arial" w:cs="Arial"/>
        </w:rPr>
        <w:t xml:space="preserve"> Responsabilidad prevista en el numeral 9.3 del artículo 9 del RLIA.</w:t>
      </w:r>
    </w:p>
  </w:footnote>
  <w:footnote w:id="13">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4">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5">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6">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3"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6"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7"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4"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8"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0"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1"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3"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4"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0"/>
  </w:num>
  <w:num w:numId="2" w16cid:durableId="997340142">
    <w:abstractNumId w:val="2"/>
  </w:num>
  <w:num w:numId="3" w16cid:durableId="818888625">
    <w:abstractNumId w:val="14"/>
  </w:num>
  <w:num w:numId="4" w16cid:durableId="789980796">
    <w:abstractNumId w:val="15"/>
  </w:num>
  <w:num w:numId="5" w16cid:durableId="2135756204">
    <w:abstractNumId w:val="5"/>
  </w:num>
  <w:num w:numId="6" w16cid:durableId="1603613276">
    <w:abstractNumId w:val="9"/>
  </w:num>
  <w:num w:numId="7" w16cid:durableId="1698236715">
    <w:abstractNumId w:val="29"/>
  </w:num>
  <w:num w:numId="8" w16cid:durableId="1567180075">
    <w:abstractNumId w:val="31"/>
  </w:num>
  <w:num w:numId="9" w16cid:durableId="260988981">
    <w:abstractNumId w:val="24"/>
  </w:num>
  <w:num w:numId="10" w16cid:durableId="360321617">
    <w:abstractNumId w:val="17"/>
  </w:num>
  <w:num w:numId="11" w16cid:durableId="11301047">
    <w:abstractNumId w:val="23"/>
  </w:num>
  <w:num w:numId="12" w16cid:durableId="104814016">
    <w:abstractNumId w:val="26"/>
  </w:num>
  <w:num w:numId="13" w16cid:durableId="1885175596">
    <w:abstractNumId w:val="0"/>
  </w:num>
  <w:num w:numId="14" w16cid:durableId="167066823">
    <w:abstractNumId w:val="27"/>
  </w:num>
  <w:num w:numId="15" w16cid:durableId="954553902">
    <w:abstractNumId w:val="25"/>
  </w:num>
  <w:num w:numId="16" w16cid:durableId="1324506319">
    <w:abstractNumId w:val="12"/>
  </w:num>
  <w:num w:numId="17" w16cid:durableId="1839225738">
    <w:abstractNumId w:val="30"/>
  </w:num>
  <w:num w:numId="18" w16cid:durableId="267396013">
    <w:abstractNumId w:val="18"/>
  </w:num>
  <w:num w:numId="19" w16cid:durableId="1228301004">
    <w:abstractNumId w:val="21"/>
  </w:num>
  <w:num w:numId="20" w16cid:durableId="554125780">
    <w:abstractNumId w:val="10"/>
  </w:num>
  <w:num w:numId="21" w16cid:durableId="1964574287">
    <w:abstractNumId w:val="13"/>
  </w:num>
  <w:num w:numId="22" w16cid:durableId="1868059492">
    <w:abstractNumId w:val="22"/>
  </w:num>
  <w:num w:numId="23" w16cid:durableId="529534098">
    <w:abstractNumId w:val="1"/>
  </w:num>
  <w:num w:numId="24" w16cid:durableId="1828084485">
    <w:abstractNumId w:val="11"/>
  </w:num>
  <w:num w:numId="25" w16cid:durableId="1934242185">
    <w:abstractNumId w:val="7"/>
  </w:num>
  <w:num w:numId="26" w16cid:durableId="1799032513">
    <w:abstractNumId w:val="28"/>
  </w:num>
  <w:num w:numId="27" w16cid:durableId="98570134">
    <w:abstractNumId w:val="6"/>
  </w:num>
  <w:num w:numId="28" w16cid:durableId="1517381528">
    <w:abstractNumId w:val="3"/>
  </w:num>
  <w:num w:numId="29" w16cid:durableId="823667415">
    <w:abstractNumId w:val="8"/>
  </w:num>
  <w:num w:numId="30" w16cid:durableId="1665426430">
    <w:abstractNumId w:val="16"/>
  </w:num>
  <w:num w:numId="31" w16cid:durableId="724336090">
    <w:abstractNumId w:val="19"/>
  </w:num>
  <w:num w:numId="32" w16cid:durableId="1229151702">
    <w:abstractNumId w:val="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isplayBackgroundShape/>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E4C2C"/>
    <w:rsid w:val="000E5B6B"/>
    <w:rsid w:val="000E7544"/>
    <w:rsid w:val="001164EE"/>
    <w:rsid w:val="00141E9A"/>
    <w:rsid w:val="001437F1"/>
    <w:rsid w:val="00153C2B"/>
    <w:rsid w:val="001609F8"/>
    <w:rsid w:val="00164552"/>
    <w:rsid w:val="00166F8B"/>
    <w:rsid w:val="00174519"/>
    <w:rsid w:val="00180A95"/>
    <w:rsid w:val="0018147B"/>
    <w:rsid w:val="0018222F"/>
    <w:rsid w:val="001B791A"/>
    <w:rsid w:val="001C5C4D"/>
    <w:rsid w:val="001D0B85"/>
    <w:rsid w:val="001E5BAD"/>
    <w:rsid w:val="001F16B0"/>
    <w:rsid w:val="00206379"/>
    <w:rsid w:val="002102ED"/>
    <w:rsid w:val="00215BA9"/>
    <w:rsid w:val="002222E3"/>
    <w:rsid w:val="002555BF"/>
    <w:rsid w:val="00261D87"/>
    <w:rsid w:val="00272134"/>
    <w:rsid w:val="002950F6"/>
    <w:rsid w:val="002A5658"/>
    <w:rsid w:val="002D136C"/>
    <w:rsid w:val="002D4E18"/>
    <w:rsid w:val="003071B9"/>
    <w:rsid w:val="003204D8"/>
    <w:rsid w:val="00325777"/>
    <w:rsid w:val="00325F1C"/>
    <w:rsid w:val="00326739"/>
    <w:rsid w:val="003325F7"/>
    <w:rsid w:val="003327C9"/>
    <w:rsid w:val="0033689D"/>
    <w:rsid w:val="00344C8A"/>
    <w:rsid w:val="003530CE"/>
    <w:rsid w:val="003636BC"/>
    <w:rsid w:val="003665C6"/>
    <w:rsid w:val="003922D5"/>
    <w:rsid w:val="003A6AB9"/>
    <w:rsid w:val="003B242A"/>
    <w:rsid w:val="003B6E7C"/>
    <w:rsid w:val="003B7D61"/>
    <w:rsid w:val="003C1E3F"/>
    <w:rsid w:val="003E4730"/>
    <w:rsid w:val="003F591A"/>
    <w:rsid w:val="00444444"/>
    <w:rsid w:val="004503ED"/>
    <w:rsid w:val="00462A57"/>
    <w:rsid w:val="00463CDC"/>
    <w:rsid w:val="00467C46"/>
    <w:rsid w:val="0047575A"/>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67C78"/>
    <w:rsid w:val="00570612"/>
    <w:rsid w:val="00594919"/>
    <w:rsid w:val="005B30EE"/>
    <w:rsid w:val="005C3A70"/>
    <w:rsid w:val="005C4042"/>
    <w:rsid w:val="005C67EA"/>
    <w:rsid w:val="005D5880"/>
    <w:rsid w:val="005D754C"/>
    <w:rsid w:val="005F24C2"/>
    <w:rsid w:val="005F3265"/>
    <w:rsid w:val="0060099A"/>
    <w:rsid w:val="00603B7D"/>
    <w:rsid w:val="0065257C"/>
    <w:rsid w:val="00662A54"/>
    <w:rsid w:val="006653DD"/>
    <w:rsid w:val="00665F3F"/>
    <w:rsid w:val="00670027"/>
    <w:rsid w:val="00677324"/>
    <w:rsid w:val="006806C8"/>
    <w:rsid w:val="00682244"/>
    <w:rsid w:val="00691FB4"/>
    <w:rsid w:val="00697B72"/>
    <w:rsid w:val="006B3AF5"/>
    <w:rsid w:val="006B4241"/>
    <w:rsid w:val="006C344B"/>
    <w:rsid w:val="006D44AB"/>
    <w:rsid w:val="006E0C91"/>
    <w:rsid w:val="006F5C22"/>
    <w:rsid w:val="00714044"/>
    <w:rsid w:val="00722166"/>
    <w:rsid w:val="007324DC"/>
    <w:rsid w:val="00736724"/>
    <w:rsid w:val="0075082A"/>
    <w:rsid w:val="007536D0"/>
    <w:rsid w:val="007614B5"/>
    <w:rsid w:val="00771AB8"/>
    <w:rsid w:val="007808CA"/>
    <w:rsid w:val="007C4F40"/>
    <w:rsid w:val="007D181A"/>
    <w:rsid w:val="007F75BC"/>
    <w:rsid w:val="0080359D"/>
    <w:rsid w:val="00807C98"/>
    <w:rsid w:val="0081311B"/>
    <w:rsid w:val="00814A4B"/>
    <w:rsid w:val="008326EA"/>
    <w:rsid w:val="00833450"/>
    <w:rsid w:val="00833CDE"/>
    <w:rsid w:val="00836DA1"/>
    <w:rsid w:val="0084436F"/>
    <w:rsid w:val="008540A5"/>
    <w:rsid w:val="00863A18"/>
    <w:rsid w:val="0087077E"/>
    <w:rsid w:val="008A143D"/>
    <w:rsid w:val="008B010D"/>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576CD"/>
    <w:rsid w:val="00972640"/>
    <w:rsid w:val="00976029"/>
    <w:rsid w:val="00992360"/>
    <w:rsid w:val="00997013"/>
    <w:rsid w:val="009B2D6B"/>
    <w:rsid w:val="009C297E"/>
    <w:rsid w:val="009E0389"/>
    <w:rsid w:val="009E4983"/>
    <w:rsid w:val="009E7E49"/>
    <w:rsid w:val="009F2465"/>
    <w:rsid w:val="009F6B32"/>
    <w:rsid w:val="00A009CE"/>
    <w:rsid w:val="00A13B62"/>
    <w:rsid w:val="00A149DD"/>
    <w:rsid w:val="00A2302D"/>
    <w:rsid w:val="00A447B6"/>
    <w:rsid w:val="00A46D47"/>
    <w:rsid w:val="00A62D43"/>
    <w:rsid w:val="00A710F3"/>
    <w:rsid w:val="00A71D9E"/>
    <w:rsid w:val="00A72414"/>
    <w:rsid w:val="00A80853"/>
    <w:rsid w:val="00A80AFB"/>
    <w:rsid w:val="00A82512"/>
    <w:rsid w:val="00A82BA1"/>
    <w:rsid w:val="00A82FE3"/>
    <w:rsid w:val="00A84B43"/>
    <w:rsid w:val="00A84EC0"/>
    <w:rsid w:val="00A964A4"/>
    <w:rsid w:val="00AA0ACB"/>
    <w:rsid w:val="00AA2DB4"/>
    <w:rsid w:val="00AB0407"/>
    <w:rsid w:val="00AB5DBB"/>
    <w:rsid w:val="00AD458B"/>
    <w:rsid w:val="00AD5F7D"/>
    <w:rsid w:val="00AE1F2D"/>
    <w:rsid w:val="00AE3DBA"/>
    <w:rsid w:val="00AE6854"/>
    <w:rsid w:val="00AF2BA4"/>
    <w:rsid w:val="00B10C11"/>
    <w:rsid w:val="00B23382"/>
    <w:rsid w:val="00B27FA6"/>
    <w:rsid w:val="00B34A74"/>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34A71"/>
    <w:rsid w:val="00C47FC1"/>
    <w:rsid w:val="00C5632E"/>
    <w:rsid w:val="00C5723D"/>
    <w:rsid w:val="00C66B57"/>
    <w:rsid w:val="00C733EA"/>
    <w:rsid w:val="00C736D9"/>
    <w:rsid w:val="00C77327"/>
    <w:rsid w:val="00C817F2"/>
    <w:rsid w:val="00C868D8"/>
    <w:rsid w:val="00C93D4C"/>
    <w:rsid w:val="00CB040E"/>
    <w:rsid w:val="00CC6721"/>
    <w:rsid w:val="00CD5098"/>
    <w:rsid w:val="00CD5536"/>
    <w:rsid w:val="00CE3C2A"/>
    <w:rsid w:val="00CE6C00"/>
    <w:rsid w:val="00CF07E5"/>
    <w:rsid w:val="00CF1187"/>
    <w:rsid w:val="00CF4842"/>
    <w:rsid w:val="00D108CB"/>
    <w:rsid w:val="00D16977"/>
    <w:rsid w:val="00D35170"/>
    <w:rsid w:val="00D42CEC"/>
    <w:rsid w:val="00D443F8"/>
    <w:rsid w:val="00D44574"/>
    <w:rsid w:val="00D601EF"/>
    <w:rsid w:val="00D75749"/>
    <w:rsid w:val="00D83EE0"/>
    <w:rsid w:val="00DA3E65"/>
    <w:rsid w:val="00DA4B1B"/>
    <w:rsid w:val="00DC2B05"/>
    <w:rsid w:val="00DC7025"/>
    <w:rsid w:val="00DE269D"/>
    <w:rsid w:val="00DE41F6"/>
    <w:rsid w:val="00DF04A0"/>
    <w:rsid w:val="00E22438"/>
    <w:rsid w:val="00E22CB4"/>
    <w:rsid w:val="00E22E28"/>
    <w:rsid w:val="00E3106C"/>
    <w:rsid w:val="00E34945"/>
    <w:rsid w:val="00E67A73"/>
    <w:rsid w:val="00E75696"/>
    <w:rsid w:val="00E87621"/>
    <w:rsid w:val="00E9145B"/>
    <w:rsid w:val="00E950CF"/>
    <w:rsid w:val="00EB62D4"/>
    <w:rsid w:val="00EC1C5F"/>
    <w:rsid w:val="00ED2DC8"/>
    <w:rsid w:val="00ED3F92"/>
    <w:rsid w:val="00EF6D32"/>
    <w:rsid w:val="00F0082B"/>
    <w:rsid w:val="00F0441E"/>
    <w:rsid w:val="00F12B33"/>
    <w:rsid w:val="00F2135B"/>
    <w:rsid w:val="00F2227C"/>
    <w:rsid w:val="00F378B6"/>
    <w:rsid w:val="00F45DDD"/>
    <w:rsid w:val="00F80506"/>
    <w:rsid w:val="00F9075F"/>
    <w:rsid w:val="00F91DE2"/>
    <w:rsid w:val="00F936FD"/>
    <w:rsid w:val="00FA09F7"/>
    <w:rsid w:val="00FB439A"/>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5532</TotalTime>
  <Pages>39</Pages>
  <Words>12258</Words>
  <Characters>67421</Characters>
  <Application>Microsoft Office Word</Application>
  <DocSecurity>0</DocSecurity>
  <Lines>561</Lines>
  <Paragraphs>159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152</cp:revision>
  <dcterms:created xsi:type="dcterms:W3CDTF">2026-03-23T21:09:00Z</dcterms:created>
  <dcterms:modified xsi:type="dcterms:W3CDTF">2026-08-24T20:10:00Z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