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 estrategia institucional de IA y sus 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desempeño, la finalidad, la población objetivo, las fuentes o la estructura de los datos de entrada, o el contexto de aplicación del SBIA.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Esta regla no alcanza a las referencias a artículos y literales del Reglamento de Organización y Funciones.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