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 estrategia institucional de IA y sus 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6.1.1. La clasificación aplica los criterios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agenticos,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 xml:space="preserve">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w:t>
        <w:lastRenderedPageBreak/>
        <w:t xml:space="preserve">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w:t>
        <w:lastRenderedPageBreak/>
        <w:t xml:space="preserve">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desempeño, la finalidad, la población objetivo, las fuentes o la estructura de los datos de entrada, o el contexto de aplicación del SBIA.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El plan de monitoreo incorpora los indicadores que permitan detectar dichos patrones. 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sin perjuicio de la verificación prevista en el numeral 6.12.3.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de herramientas de IA. </w:t>
      </w:r>
      <w:r>
        <w:rPr>
          <w:rFonts w:ascii="Arial" w:hAnsi="Arial" w:cs="Arial"/>
          <w:color w:val="000000"/>
          <w:highlight w:val="green"/>
        </w:rPr>
        <w:t xml:space="preserve">La División de Gestión de Infraestructura Tecnológica y la División de Atención a Usuarios administran el inventario de software y aseguran, en el ámbito de sus competencias, que los equipos informáticos tengan instalado únicamente software autorizado, conforme al literal b) del artículo 140 y al literal e) del artículo 142 del ROF. </w:t>
      </w:r>
      <w:r>
        <w:rPr>
          <w:rFonts w:ascii="Arial" w:hAnsi="Arial" w:cs="Arial"/>
          <w:color w:val="000000"/>
          <w:highlight w:val="cyan"/>
        </w:rPr>
        <w:t xml:space="preserve">El catálogo institucional de herramientas de IA constituye el subconjunto de inteligencia artificial del inventario de software autorizado; ambos se distinguen del Inventario de SBIA (Anexo N.° 1),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promueve la participación de equipos diversos y multidisciplinarios, conforme al numeral 6.1.6,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sus Anexos ni las competencias de aprobación que establece. </w:t>
      </w:r>
      <w:r>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metodologías y a instrumentos de gestión institucionales aplican a sus versiones vigentes o a las que las sustituyan.</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3D4C74B2" w14:textId="777777B3"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B4" w14:textId="73D4C0B5"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B6" w14:textId="51C3B1B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B8" w14:textId="6A9151B9"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