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264DED"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Controles de contención (Guardrails):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28D9451F"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Se distingue del custodio técnico, a cargo de la arquitectura y la operación del SBIA.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lastRenderedPageBreak/>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50CF38CB" w14:textId="13D58962" w:rsidR="00DE4308" w:rsidRPr="00DE4308" w:rsidRDefault="00DE4308" w:rsidP="00DE4308">
            <w:pPr>
              <w:pStyle w:val="Prrafodelista"/>
              <w:numPr>
                <w:ilvl w:val="0"/>
                <w:numId w:val="13"/>
              </w:numPr>
              <w:spacing w:after="60" w:line="276" w:lineRule="auto"/>
              <w:ind w:left="269" w:hanging="269"/>
              <w:jc w:val="left"/>
              <w:rPr>
                <w:b w:val="0"/>
                <w:bCs w:val="0"/>
                <w:highlight w:val="green"/>
              </w:rPr>
            </w:pPr>
            <w:r w:rsidRPr="00DE4308">
              <w:rPr>
                <w:b w:val="0"/>
                <w:bCs w:val="0"/>
                <w:highlight w:val="green"/>
              </w:rPr>
              <w:t>Proponer la clasificación de riesgo de cada SBIA, previo al inicio del desarrollo o</w:t>
            </w:r>
            <w:r w:rsidRPr="00DE4308">
              <w:rPr>
                <w:b w:val="0"/>
                <w:bCs w:val="0"/>
                <w:highlight w:val="green"/>
              </w:rPr>
              <w:t xml:space="preserve"> </w:t>
            </w:r>
            <w:r w:rsidRPr="00DE4308">
              <w:rPr>
                <w:b w:val="0"/>
                <w:bCs w:val="0"/>
                <w:highlight w:val="green"/>
              </w:rPr>
              <w:t>adquisición; su aprobación corresponde conforme al numeral 6.2.2.</w:t>
            </w:r>
          </w:p>
          <w:p w14:paraId="7AA16B7C" w14:textId="1B1A08C5"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 xml:space="preserve">Proponer lineamientos técnicos complementarios en materia de </w:t>
            </w:r>
            <w:r w:rsidRPr="008E63B0">
              <w:rPr>
                <w:b w:val="0"/>
                <w:bCs w:val="0"/>
              </w:rPr>
              <w:lastRenderedPageBreak/>
              <w:t>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Actúa como enlace con la Autoridad Nacional de Protección de Datos Personales. Emite opinión sobre el </w:t>
            </w:r>
            <w:r>
              <w:rPr>
                <w:b w:val="0"/>
                <w:bCs w:val="0"/>
                <w:color w:val="000000"/>
                <w:highlight w:val="yellow"/>
              </w:rPr>
              <w:lastRenderedPageBreak/>
              <w:t>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conocimiento operativo de los </w:t>
            </w:r>
            <w:r w:rsidRPr="005B30EE">
              <w:rPr>
                <w:b w:val="0"/>
                <w:bCs w:val="0"/>
                <w:highlight w:val="lightGray"/>
              </w:rPr>
              <w:lastRenderedPageBreak/>
              <w:t>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BC999" w14:textId="77777777" w:rsidR="00DE4308" w:rsidRPr="00DE4308" w:rsidRDefault="00DE4308" w:rsidP="00DE4308">
            <w:pPr>
              <w:spacing w:before="20" w:after="20" w:line="276" w:lineRule="auto"/>
              <w:rPr>
                <w:rFonts w:ascii="Arial" w:eastAsia="Arial" w:hAnsi="Arial" w:cs="Arial"/>
                <w:highlight w:val="green"/>
              </w:rPr>
            </w:pPr>
            <w:r w:rsidRPr="00DE4308">
              <w:rPr>
                <w:rFonts w:ascii="Arial" w:eastAsia="Arial" w:hAnsi="Arial" w:cs="Arial"/>
                <w:highlight w:val="green"/>
              </w:rPr>
              <w:t>La Comisión de Gobierno de IA coordina la evaluación técnica, legal, ética y operativa</w:t>
            </w:r>
          </w:p>
          <w:p w14:paraId="447AE5C9" w14:textId="4EB1C7C6" w:rsidR="00E67A73" w:rsidRPr="00DE4308" w:rsidRDefault="00DE4308" w:rsidP="00DE4308">
            <w:pPr>
              <w:spacing w:before="20" w:after="20" w:line="276" w:lineRule="auto"/>
              <w:rPr>
                <w:rFonts w:ascii="Arial" w:hAnsi="Arial" w:cs="Arial"/>
                <w:highlight w:val="green"/>
              </w:rPr>
            </w:pPr>
            <w:r w:rsidRPr="00DE4308">
              <w:rPr>
                <w:rFonts w:ascii="Arial" w:eastAsia="Arial" w:hAnsi="Arial" w:cs="Arial"/>
                <w:highlight w:val="green"/>
              </w:rPr>
              <w:t>del componente de IA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t>Aprobación de la clasificación de riesgo, 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088EA22D" w:rsidR="00E67A73" w:rsidRDefault="00236A5F">
            <w:pPr>
              <w:spacing w:before="20" w:after="20" w:line="276" w:lineRule="auto"/>
              <w:rPr>
                <w:rFonts w:ascii="Arial" w:hAnsi="Arial" w:cs="Arial"/>
              </w:rPr>
            </w:pPr>
            <w:r w:rsidRPr="00236A5F">
              <w:rPr>
                <w:rFonts w:ascii="Arial" w:eastAsia="Arial" w:hAnsi="Arial" w:cs="Arial"/>
                <w:highlight w:val="green"/>
              </w:rPr>
              <w:t>La Gerencia de Calidad de Sistemas conduce las pruebas de verificación y validación de calidad.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Gerencia de Calidad de Sistemas,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w:t>
      </w:r>
      <w:r w:rsidR="00166F8B" w:rsidRPr="00166F8B">
        <w:rPr>
          <w:rFonts w:ascii="Arial" w:hAnsi="Arial" w:cs="Arial"/>
          <w:color w:val="000000"/>
          <w:highlight w:val="lightGray"/>
        </w:rPr>
        <w:lastRenderedPageBreak/>
        <w:t xml:space="preserve">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 xml:space="preserve">obligatoria, el pronunciamiento no favorable de la Comisión de </w:t>
      </w:r>
      <w:r w:rsidR="00DE4308" w:rsidRPr="00DE4308">
        <w:rPr>
          <w:rFonts w:ascii="Arial" w:eastAsia="Arial" w:hAnsi="Arial" w:cs="Arial"/>
          <w:color w:val="000000"/>
          <w:highlight w:val="green"/>
        </w:rPr>
        <w:lastRenderedPageBreak/>
        <w:t>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lastRenderedPageBreak/>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 xml:space="preserve">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w:t>
      </w:r>
      <w:r w:rsidRPr="002555BF">
        <w:rPr>
          <w:b w:val="0"/>
          <w:bCs w:val="0"/>
          <w:highlight w:val="green"/>
        </w:rPr>
        <w:lastRenderedPageBreak/>
        <w:t>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47E0D95"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5EB5EFE8"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r w:rsidR="00236A5F">
        <w:rPr>
          <w:b w:val="0"/>
          <w:bCs w:val="0"/>
          <w:color w:val="000000"/>
          <w:highlight w:val="yellow"/>
        </w:rPr>
        <w:t>continúo</w:t>
      </w:r>
      <w:r>
        <w:rPr>
          <w:b w:val="0"/>
          <w:bCs w:val="0"/>
          <w:color w:val="000000"/>
          <w:highlight w:val="yellow"/>
        </w:rPr>
        <w:t xml:space="preserve">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5E09A898"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w:t>
      </w:r>
      <w:r w:rsidRPr="00D950D6">
        <w:rPr>
          <w:rFonts w:ascii="Arial" w:eastAsia="Arial" w:hAnsi="Arial" w:cs="Arial"/>
          <w:color w:val="000000"/>
          <w:highlight w:val="green"/>
        </w:rPr>
        <w:lastRenderedPageBreak/>
        <w:t>calidad, del análisis de riesgo, las pruebas de vulnerabilidad y el red teaming previstos en el numeral 6.7.2, con anterioridad a la implementación del SBIA,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18B752A9" w:rsidR="000153F0" w:rsidRDefault="00000000">
      <w:pPr>
        <w:spacing w:after="60" w:line="276" w:lineRule="auto"/>
        <w:ind w:left="1276" w:hanging="720"/>
        <w:jc w:val="both"/>
        <w:rPr>
          <w:rFonts w:ascii="Arial" w:eastAsia="Arial" w:hAnsi="Arial" w:cs="Arial"/>
          <w:color w:val="000000"/>
        </w:rPr>
      </w:pPr>
      <w:r w:rsidRPr="00FA5FEB">
        <w:rPr>
          <w:rFonts w:ascii="Arial" w:eastAsia="Arial" w:hAnsi="Arial" w:cs="Arial"/>
          <w:color w:val="000000"/>
          <w:highlight w:val="green"/>
        </w:rPr>
        <w:t>6.11.2</w:t>
      </w:r>
      <w:r w:rsidRPr="00FA5FEB">
        <w:rPr>
          <w:rFonts w:ascii="Arial" w:eastAsia="Arial" w:hAnsi="Arial" w:cs="Arial"/>
          <w:color w:val="000000"/>
          <w:highlight w:val="green"/>
        </w:rPr>
        <w:tab/>
      </w:r>
      <w:r w:rsidR="00FA5FEB" w:rsidRPr="00FA5FEB">
        <w:rPr>
          <w:rFonts w:ascii="Arial" w:eastAsia="Arial" w:hAnsi="Arial" w:cs="Arial"/>
          <w:color w:val="000000"/>
          <w:highlight w:val="green"/>
        </w:rPr>
        <w:t xml:space="preserve">El catálogo precisa, para cada herramienta, el ámbito de uso autorizado (uso administrativo general o uso restringido) y si se encuentra desplegada en </w:t>
      </w:r>
      <w:r w:rsidR="00FA5FEB" w:rsidRPr="00FA5FEB">
        <w:rPr>
          <w:rFonts w:ascii="Arial" w:eastAsia="Arial" w:hAnsi="Arial" w:cs="Arial"/>
          <w:color w:val="000000"/>
          <w:highlight w:val="green"/>
        </w:rPr>
        <w:lastRenderedPageBreak/>
        <w:t>infraestructura bajo control de la SUNAT. Solo las herramientas desplegadas en dicha infraestructura pueden emplearse con información sujeta a reserva tributaria, conforme al numeral 6.7.</w:t>
      </w:r>
      <w:proofErr w:type="gramStart"/>
      <w:r w:rsidR="00FA5FEB" w:rsidRPr="00FA5FEB">
        <w:rPr>
          <w:rFonts w:ascii="Arial" w:eastAsia="Arial" w:hAnsi="Arial" w:cs="Arial"/>
          <w:color w:val="000000"/>
          <w:highlight w:val="green"/>
        </w:rPr>
        <w:t>3.</w:t>
      </w:r>
      <w:r w:rsidRPr="00FA5FEB">
        <w:rPr>
          <w:rFonts w:ascii="Arial" w:eastAsia="Arial" w:hAnsi="Arial" w:cs="Arial"/>
          <w:color w:val="000000"/>
          <w:highlight w:val="green"/>
        </w:rPr>
        <w:t>.</w:t>
      </w:r>
      <w:proofErr w:type="gramEnd"/>
      <w:r w:rsidRPr="00FA5FEB">
        <w:rPr>
          <w:rFonts w:ascii="Arial" w:eastAsia="Arial" w:hAnsi="Arial" w:cs="Arial"/>
          <w:color w:val="000000"/>
          <w:highlight w:val="green"/>
        </w:rPr>
        <w:t xml:space="preserve">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 xml:space="preserve">La SUNAT promueve que su personal cumpla las normas del Código de Ética de la Función Pública, su Reglamento y las normas de integridad en el </w:t>
      </w:r>
      <w:r>
        <w:rPr>
          <w:rFonts w:ascii="Arial" w:eastAsia="Arial" w:hAnsi="Arial" w:cs="Arial"/>
          <w:color w:val="000000"/>
          <w:highlight w:val="yellow"/>
        </w:rPr>
        <w:lastRenderedPageBreak/>
        <w:t>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Uso Seguro, Responsable y Ético de los SBIA o la normativa vigente, o el resultado esperado se alcanza sin inteligencia </w:t>
      </w:r>
      <w:r w:rsidRPr="006D44AB">
        <w:rPr>
          <w:b w:val="0"/>
          <w:bCs w:val="0"/>
          <w:highlight w:val="green"/>
        </w:rPr>
        <w:lastRenderedPageBreak/>
        <w:t>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58CEBE69"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Versión vigente y ultimo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20F3A" w14:textId="77777777" w:rsidR="0035556D" w:rsidRDefault="0035556D">
      <w:pPr>
        <w:spacing w:after="0" w:line="240" w:lineRule="auto"/>
      </w:pPr>
      <w:r>
        <w:separator/>
      </w:r>
    </w:p>
  </w:endnote>
  <w:endnote w:type="continuationSeparator" w:id="0">
    <w:p w14:paraId="1DCE40BC" w14:textId="77777777" w:rsidR="0035556D" w:rsidRDefault="0035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97176" w14:textId="77777777" w:rsidR="0035556D" w:rsidRDefault="0035556D">
      <w:pPr>
        <w:spacing w:after="0" w:line="240" w:lineRule="auto"/>
      </w:pPr>
      <w:r>
        <w:separator/>
      </w:r>
    </w:p>
  </w:footnote>
  <w:footnote w:type="continuationSeparator" w:id="0">
    <w:p w14:paraId="144387C1" w14:textId="77777777" w:rsidR="0035556D" w:rsidRDefault="0035556D">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1"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6"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7"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3"/>
  </w:num>
  <w:num w:numId="2" w16cid:durableId="997340142">
    <w:abstractNumId w:val="4"/>
  </w:num>
  <w:num w:numId="3" w16cid:durableId="818888625">
    <w:abstractNumId w:val="17"/>
  </w:num>
  <w:num w:numId="4" w16cid:durableId="789980796">
    <w:abstractNumId w:val="18"/>
  </w:num>
  <w:num w:numId="5" w16cid:durableId="2135756204">
    <w:abstractNumId w:val="8"/>
  </w:num>
  <w:num w:numId="6" w16cid:durableId="1603613276">
    <w:abstractNumId w:val="12"/>
  </w:num>
  <w:num w:numId="7" w16cid:durableId="1698236715">
    <w:abstractNumId w:val="33"/>
  </w:num>
  <w:num w:numId="8" w16cid:durableId="1567180075">
    <w:abstractNumId w:val="35"/>
  </w:num>
  <w:num w:numId="9" w16cid:durableId="260988981">
    <w:abstractNumId w:val="27"/>
  </w:num>
  <w:num w:numId="10" w16cid:durableId="360321617">
    <w:abstractNumId w:val="20"/>
  </w:num>
  <w:num w:numId="11" w16cid:durableId="11301047">
    <w:abstractNumId w:val="26"/>
  </w:num>
  <w:num w:numId="12" w16cid:durableId="104814016">
    <w:abstractNumId w:val="30"/>
  </w:num>
  <w:num w:numId="13" w16cid:durableId="1885175596">
    <w:abstractNumId w:val="0"/>
  </w:num>
  <w:num w:numId="14" w16cid:durableId="167066823">
    <w:abstractNumId w:val="31"/>
  </w:num>
  <w:num w:numId="15" w16cid:durableId="954553902">
    <w:abstractNumId w:val="28"/>
  </w:num>
  <w:num w:numId="16" w16cid:durableId="1324506319">
    <w:abstractNumId w:val="15"/>
  </w:num>
  <w:num w:numId="17" w16cid:durableId="1839225738">
    <w:abstractNumId w:val="34"/>
  </w:num>
  <w:num w:numId="18" w16cid:durableId="267396013">
    <w:abstractNumId w:val="21"/>
  </w:num>
  <w:num w:numId="19" w16cid:durableId="1228301004">
    <w:abstractNumId w:val="24"/>
  </w:num>
  <w:num w:numId="20" w16cid:durableId="554125780">
    <w:abstractNumId w:val="13"/>
  </w:num>
  <w:num w:numId="21" w16cid:durableId="1964574287">
    <w:abstractNumId w:val="16"/>
  </w:num>
  <w:num w:numId="22" w16cid:durableId="1868059492">
    <w:abstractNumId w:val="25"/>
  </w:num>
  <w:num w:numId="23" w16cid:durableId="529534098">
    <w:abstractNumId w:val="3"/>
  </w:num>
  <w:num w:numId="24" w16cid:durableId="1828084485">
    <w:abstractNumId w:val="14"/>
  </w:num>
  <w:num w:numId="25" w16cid:durableId="1934242185">
    <w:abstractNumId w:val="10"/>
  </w:num>
  <w:num w:numId="26" w16cid:durableId="1799032513">
    <w:abstractNumId w:val="32"/>
  </w:num>
  <w:num w:numId="27" w16cid:durableId="98570134">
    <w:abstractNumId w:val="9"/>
  </w:num>
  <w:num w:numId="28" w16cid:durableId="1517381528">
    <w:abstractNumId w:val="5"/>
  </w:num>
  <w:num w:numId="29" w16cid:durableId="823667415">
    <w:abstractNumId w:val="11"/>
  </w:num>
  <w:num w:numId="30" w16cid:durableId="1665426430">
    <w:abstractNumId w:val="19"/>
  </w:num>
  <w:num w:numId="31" w16cid:durableId="724336090">
    <w:abstractNumId w:val="22"/>
  </w:num>
  <w:num w:numId="32" w16cid:durableId="1229151702">
    <w:abstractNumId w:val="6"/>
  </w:num>
  <w:num w:numId="33" w16cid:durableId="1877502275">
    <w:abstractNumId w:val="1"/>
  </w:num>
  <w:num w:numId="34" w16cid:durableId="395935091">
    <w:abstractNumId w:val="2"/>
  </w:num>
  <w:num w:numId="35" w16cid:durableId="996500697">
    <w:abstractNumId w:val="7"/>
  </w:num>
  <w:num w:numId="36" w16cid:durableId="955452418">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E4C2C"/>
    <w:rsid w:val="000E5B6B"/>
    <w:rsid w:val="000E7544"/>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6B0"/>
    <w:rsid w:val="00206379"/>
    <w:rsid w:val="002102ED"/>
    <w:rsid w:val="00215BA9"/>
    <w:rsid w:val="002222E3"/>
    <w:rsid w:val="00226840"/>
    <w:rsid w:val="00236A5F"/>
    <w:rsid w:val="002555BF"/>
    <w:rsid w:val="00261D87"/>
    <w:rsid w:val="002711BE"/>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5556D"/>
    <w:rsid w:val="003636BC"/>
    <w:rsid w:val="003665C6"/>
    <w:rsid w:val="003922D5"/>
    <w:rsid w:val="003A6AB9"/>
    <w:rsid w:val="003A7976"/>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2166"/>
    <w:rsid w:val="007324DC"/>
    <w:rsid w:val="00736724"/>
    <w:rsid w:val="0075082A"/>
    <w:rsid w:val="007536D0"/>
    <w:rsid w:val="007614B5"/>
    <w:rsid w:val="00771AB8"/>
    <w:rsid w:val="007808CA"/>
    <w:rsid w:val="007C4F40"/>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34A71"/>
    <w:rsid w:val="00C47FC1"/>
    <w:rsid w:val="00C5632E"/>
    <w:rsid w:val="00C5723D"/>
    <w:rsid w:val="00C66B57"/>
    <w:rsid w:val="00C71A9A"/>
    <w:rsid w:val="00C733EA"/>
    <w:rsid w:val="00C736D9"/>
    <w:rsid w:val="00C77327"/>
    <w:rsid w:val="00C817F2"/>
    <w:rsid w:val="00C868D8"/>
    <w:rsid w:val="00C93D4C"/>
    <w:rsid w:val="00CA521D"/>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950D6"/>
    <w:rsid w:val="00DA3E65"/>
    <w:rsid w:val="00DA4B1B"/>
    <w:rsid w:val="00DB1816"/>
    <w:rsid w:val="00DC2B05"/>
    <w:rsid w:val="00DC7025"/>
    <w:rsid w:val="00DE269D"/>
    <w:rsid w:val="00DE41F6"/>
    <w:rsid w:val="00DE4308"/>
    <w:rsid w:val="00DF04A0"/>
    <w:rsid w:val="00DF3D57"/>
    <w:rsid w:val="00E22438"/>
    <w:rsid w:val="00E22CB4"/>
    <w:rsid w:val="00E22E28"/>
    <w:rsid w:val="00E3106C"/>
    <w:rsid w:val="00E34945"/>
    <w:rsid w:val="00E67A73"/>
    <w:rsid w:val="00E75696"/>
    <w:rsid w:val="00E87621"/>
    <w:rsid w:val="00E9145B"/>
    <w:rsid w:val="00E950CF"/>
    <w:rsid w:val="00EB62D4"/>
    <w:rsid w:val="00EC1C5F"/>
    <w:rsid w:val="00EC2CB2"/>
    <w:rsid w:val="00ED2DC8"/>
    <w:rsid w:val="00ED3F92"/>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A5FEB"/>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6622</TotalTime>
  <Pages>40</Pages>
  <Words>12866</Words>
  <Characters>70765</Characters>
  <Application>Microsoft Office Word</Application>
  <DocSecurity>0</DocSecurity>
  <Lines>589</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166</cp:revision>
  <dcterms:created xsi:type="dcterms:W3CDTF">2026-03-23T21:09:00Z</dcterms:created>
  <dcterms:modified xsi:type="dcterms:W3CDTF">2026-08-25T16:29:00Z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