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CD7E8DB"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5</w:t>
          <w:fldChar w:fldCharType="end"/>
        </w:r>
      </w:hyperlink>
    </w:p>
    <w:p w14:paraId="3500C9E2" w14:textId="34B45AE8"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5</w:t>
          <w:fldChar w:fldCharType="end"/>
        </w:r>
      </w:hyperlink>
    </w:p>
    <w:p w14:paraId="7A4DB512" w14:textId="28CAF3FC"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5</w:t>
          <w:fldChar w:fldCharType="end"/>
        </w:r>
      </w:hyperlink>
    </w:p>
    <w:p w14:paraId="122868CE" w14:textId="739A4719"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8</w:t>
          <w:fldChar w:fldCharType="end"/>
        </w:r>
      </w:hyperlink>
    </w:p>
    <w:p w14:paraId="334964A7" w14:textId="095DD0D8"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10</w:t>
          <w:fldChar w:fldCharType="end"/>
        </w:r>
      </w:hyperlink>
    </w:p>
    <w:p w14:paraId="21A72EE4" w14:textId="77A11A31"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19</w:t>
          <w:fldChar w:fldCharType="end"/>
        </w:r>
      </w:hyperlink>
    </w:p>
    <w:p w14:paraId="25BE9A9A" w14:textId="463E3F1D"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47</w:t>
          <w:fldChar w:fldCharType="end"/>
        </w:r>
      </w:hyperlink>
    </w:p>
    <w:p w14:paraId="1C3DBB26" w14:textId="232EAEA0"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49</w:t>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que precisan los compromisos establecidos en la Política de IA y se sujetan a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los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presente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029-2021-PCM (18/02/2021), que aprueba el Reglamento del Decreto Legislativo N.° 1412, y sus modificatorias aprobadas por Decreto Supremo N.° 075-2023-PCM y Decreto Supremo N.° 098-2025-PCM (31/07/2025).</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(13/02/2026), que aprueba la Estrategia Nacional de Gobierno de Datos 2026-2030 (ENGD).</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aprobado por Decreto Supremo N.° 010-2009-EF (16/01/2009); en particular el artículo 163 sobre la naturaleza confidencial de la información obtenida para la gestión del riesgo aduanero.</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 cuya Sección Primera fue aprobada por el Decreto Supremo N.° 040-2023-EF y modificatoria, y cuya Sección Segunda fue aprobada por la Resolución de Superintendencia N.° 000081-2023/SUNAT y modificatorias.</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de los cuales se mantiene vigente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lastRenderedPageBreak/>
        <w:t>Resolución de Superintendencia N.° 000114-2026/SUNAT (12/06/2026), que aprueba la actualización de los documentos del Sistema de Gestión de Seguridad de la Información de la SUNAT, entre ellos el Manual de Políticas del Sistema de Gestión de Seguridad de la Información (SGSI-MA-03), Versión 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del artículo 163 de la Ley General de Aduanas y de la normativa de protección de datos personales. [D.S. N.° 115-2025-PCM, artículo 25]</w:t>
      </w:r>
    </w:p>
    <w:p w14:paraId="6CBFD345" w14:textId="77777777" w:rsidR="0033689D"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6FF74420" w14:textId="77777777" w:rsidR="00D63B50" w:rsidRDefault="00D63B50" w:rsidP="00D63B50">
      <w:pPr>
        <w:spacing w:after="0" w:line="276" w:lineRule="auto"/>
        <w:rPr>
          <w:color w:val="000000"/>
        </w:rPr>
      </w:pPr>
    </w:p>
    <w:p w14:paraId="39DD1C20" w14:textId="77777777" w:rsidR="00D63B50" w:rsidRDefault="00D63B50" w:rsidP="00D63B50">
      <w:pPr>
        <w:spacing w:after="0" w:line="276" w:lineRule="auto"/>
        <w:rPr>
          <w:color w:val="000000"/>
        </w:rPr>
      </w:pPr>
    </w:p>
    <w:p w14:paraId="48A889E5" w14:textId="77777777" w:rsidR="00D63B50" w:rsidRPr="00D63B50" w:rsidRDefault="00D63B50" w:rsidP="00D63B50">
      <w:pPr>
        <w:spacing w:after="0" w:line="276" w:lineRule="auto"/>
        <w:rPr>
          <w:color w:val="000000"/>
        </w:rPr>
      </w:pP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541AD05" w14:textId="77777777" w:rsidR="00A46D47" w:rsidRPr="00923C59" w:rsidRDefault="00A46D47" w:rsidP="00A46D47">
      <w:pPr>
        <w:pStyle w:val="SubtituloDONI"/>
        <w:spacing w:line="276" w:lineRule="auto"/>
        <w:ind w:left="851"/>
      </w:pPr>
      <w:r>
        <w:t>5.1</w:t>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5.1.3La reserva tributaria constituye criterio determinante en la evaluación de riesgo de todo SBIA que procese información de contribuyentes. El mismo criterio aplica a la información obtenida para la gestión del riesgo aduanero, cuya naturaleza confidencial reconoce el artículo 163 de la Ley General de Aduanas.</w:t>
        <w:tab/>
      </w:r>
    </w:p>
    <w:p w14:paraId="2D4ED06C" w14:textId="77777777" w:rsidR="00A46D47" w:rsidRPr="00A46D47" w:rsidRDefault="00A46D47" w:rsidP="00A46D47">
      <w:pPr>
        <w:spacing w:after="60" w:line="276" w:lineRule="auto"/>
        <w:ind w:left="1276" w:hanging="720"/>
      </w:pPr>
      <w:r>
        <w:rPr>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El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5.3.2</w:t>
        <w:tab/>
        <w:t>Las funciones de la Comisión de Gobierno de IA, en apoyo al CGTD, se definen en el numeral 5.4 y en las disposiciones específicas de la presente directiva.</w:t>
      </w:r>
    </w:p>
    <w:p w14:paraId="5F714CC6"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5.3.3</w:t>
        <w:tab/>
        <w:t>La condición de integrante de la Comisión de Gobierno de IA no limita ni condiciona el ejercicio de las funciones que el ROF y la normativa institucional asignan a cada unidad de organización que la integra. En particular, la Oficina de Integridad Institucional ejerce con independencia la supervisión prevista en el numeral 6.14 y el tratamiento de las conductas que se le comuniquen conforme al numeral 6.10.6, y la Intendencia Nacional de Asesoría Legal Interna ejerce con independencia la asesoría y la revisión en materia de cumplimiento normativo.</w:t>
      </w:r>
    </w:p>
    <w:p w14:paraId="6F7395F0" w14:textId="77777777" w:rsidR="00863A18" w:rsidRPr="00923C59" w:rsidRDefault="00863A18" w:rsidP="00B23382">
      <w:pPr>
        <w:pStyle w:val="SubtituloDONI"/>
        <w:spacing w:line="276" w:lineRule="auto"/>
        <w:ind w:left="851"/>
      </w:pPr>
      <w:r>
        <w:t>5.4</w:t>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conforme se detallan en la siguiente tabla:</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Los recursos para su implementación se gestionan a través de los instrumentos de gestión institucional y de los sistemas administrativos que corresponden.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w:t>
              <w:lastRenderedPageBreak/>
              <w:t xml:space="preserve">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Valida el Plan de Acción de Inteligencia Artificial, conforme al numeral 5.3 del artículo 5 de la Resolución Ministerial N.° 152-2026-PCM y al numeral 7.11 de la presente 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lastRenderedPageBreak/>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5D662A">
      <w:pPr>
        <w:pStyle w:val="SubtituloDONI"/>
        <w:spacing w:before="0" w:after="0"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5D662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Supervisa y evalúa que los modelos y algoritmos de los SBIA de riesgo alto cumplan los estándares de calidad y ética aplicables, conforme al numeral 6.5 del artículo 6 de la Resolución Ministerial N.° 152-2026-PCM. La ejerce en coordinación con las unidades de organización y con los propietarios de los casos de uso, y se apoya en las verificaciones previstas en los numerales 6.6.4,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w:t>
              <w:lastRenderedPageBreak/>
              <w:t>la INSI desarrolla, adquiere o terceriza SBIA, conforme al numeral 6.7.1. Propone las medidas de gestión de riesgos de seguridad de la información aplicables a los SBIA. El registro y la atención de los incidentes se rigen por el numeral 6.7.5; comunica al Centro Nacional de Seguridad Digital (CNSD) los incidentes de seguridad digital críticos que afecten los procesos misionales o los servicios de la entidad, y los informa a la máxima autoridad administrativa y al CGTD, conforme a la Directiva N.° 001-2023-PCM/SGTD.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w:t>
              <w:lastRenderedPageBreak/>
              <w:t xml:space="preserve">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lastRenderedPageBreak/>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bl>
    <w:p w14:paraId="278FF41E" w14:textId="77777777" w:rsidR="005D662A" w:rsidRDefault="005D662A" w:rsidP="005D662A">
      <w:pPr>
        <w:pStyle w:val="Ttulo1"/>
        <w:numPr>
          <w:ilvl w:val="0"/>
          <w:numId w:val="0"/>
        </w:numPr>
        <w:spacing w:before="0" w:after="0" w:line="276" w:lineRule="auto"/>
        <w:ind w:left="709"/>
        <w:rPr>
          <w:rFonts w:cs="Arial"/>
          <w:szCs w:val="22"/>
        </w:rPr>
      </w:pPr>
      <w:bookmarkStart w:id="6" w:name="_Toc235003966"/>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5D662A" w:rsidRPr="003D4DEA" w14:paraId="739C53E6" w14:textId="77777777" w:rsidTr="005D662A">
        <w:trPr>
          <w:trHeight w:val="639"/>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4CB5C03A" w14:textId="77777777" w:rsidR="005D662A" w:rsidRPr="003D4DEA" w:rsidRDefault="005D662A" w:rsidP="00CA63CE">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5D662A" w14:paraId="6A791DF4" w14:textId="77777777" w:rsidTr="005D662A">
        <w:trPr>
          <w:trHeight w:val="580"/>
          <w:tblHeader/>
        </w:trPr>
        <w:tc>
          <w:tcPr>
            <w:tcW w:w="1843"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D0B8B76" w14:textId="2CAE7192"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EF20C93" w14:textId="3D1F4DE1"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56D95405" w14:textId="3FDEAB95"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Responsabilidades</w:t>
            </w:r>
          </w:p>
        </w:tc>
      </w:tr>
      <w:tr w:rsidR="005D662A" w14:paraId="2640B102"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4B8ECC" w14:textId="77777777" w:rsidR="005D662A" w:rsidRDefault="005D662A" w:rsidP="00CA63CE">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B205D9" w14:textId="77777777" w:rsidR="005D662A" w:rsidRDefault="005D662A" w:rsidP="00CA63CE">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7123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06A2FDFC"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35F667E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48FC6A46"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1685CE1B"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5D662A" w14:paraId="3D75E0F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D37358" w14:textId="77777777" w:rsidR="005D662A" w:rsidRDefault="005D662A" w:rsidP="00CA63CE">
            <w:pPr>
              <w:spacing w:before="20" w:after="20" w:line="276" w:lineRule="auto"/>
              <w:rPr>
                <w:rFonts w:ascii="Arial" w:hAnsi="Arial" w:cs="Arial"/>
              </w:rPr>
            </w:pPr>
            <w:r>
              <w:rPr>
                <w:rFonts w:ascii="Arial" w:eastAsia="Arial" w:hAnsi="Arial" w:cs="Arial"/>
                <w:b/>
                <w:bCs/>
              </w:rPr>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FCB3BC" w14:textId="77777777" w:rsidR="005D662A" w:rsidRDefault="005D662A" w:rsidP="00CA63CE">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8190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135D4D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593278F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57A587"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lastRenderedPageBreak/>
              <w:t>La Gerencia de Arquitectura solicita su opinión conforme al numeral 6.5.8.</w:t>
            </w:r>
          </w:p>
        </w:tc>
      </w:tr>
      <w:tr w:rsidR="005D662A" w14:paraId="7876BAE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436088" w14:textId="77777777" w:rsidR="005D662A" w:rsidRDefault="005D662A" w:rsidP="00CA63CE">
            <w:pPr>
              <w:spacing w:before="20" w:after="20" w:line="276" w:lineRule="auto"/>
              <w:rPr>
                <w:rFonts w:ascii="Arial" w:hAnsi="Arial" w:cs="Arial"/>
              </w:rPr>
            </w:pPr>
            <w:r>
              <w:rPr>
                <w:rFonts w:ascii="Arial" w:eastAsia="Arial" w:hAnsi="Arial" w:cs="Arial"/>
                <w:b/>
                <w:bCs/>
              </w:rPr>
              <w:lastRenderedPageBreak/>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B279C" w14:textId="77777777" w:rsidR="005D662A" w:rsidRDefault="005D662A" w:rsidP="00CA63CE">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8B5C3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185DB44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5DDAAD4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Cuando la materia tenga incidencia tributaria, coordina con la Intendencia Nacional Jurídico Tributaria, conforme al literal c) del citado artículo.</w:t>
            </w:r>
          </w:p>
          <w:p w14:paraId="2936B60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32F191E5"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600F7985" w14:textId="77777777" w:rsidR="005D662A" w:rsidRPr="005D662A" w:rsidRDefault="005D662A" w:rsidP="005D662A"/>
    <w:p w14:paraId="654C405E" w14:textId="77777777" w:rsidR="005D662A" w:rsidRDefault="005D662A" w:rsidP="005D662A"/>
    <w:p w14:paraId="0959FA27" w14:textId="77777777" w:rsidR="005D662A" w:rsidRDefault="005D662A" w:rsidP="005D662A"/>
    <w:p w14:paraId="7CD25393" w14:textId="77777777" w:rsidR="005D662A" w:rsidRPr="005D662A" w:rsidRDefault="005D662A" w:rsidP="005D662A"/>
    <w:p w14:paraId="7F6A6C42" w14:textId="77777777" w:rsidR="005D662A" w:rsidRPr="005D662A" w:rsidRDefault="005D662A" w:rsidP="00D63B50">
      <w:pPr>
        <w:pStyle w:val="Ttulo1"/>
        <w:numPr>
          <w:ilvl w:val="0"/>
          <w:numId w:val="0"/>
        </w:numPr>
        <w:spacing w:after="0" w:line="276" w:lineRule="auto"/>
        <w:ind w:left="709" w:hanging="709"/>
        <w:rPr>
          <w:rFonts w:cs="Arial"/>
          <w:szCs w:val="22"/>
        </w:rPr>
      </w:pPr>
    </w:p>
    <w:p w14:paraId="783690D6" w14:textId="072A5E25" w:rsidR="00863A18" w:rsidRPr="00923C59" w:rsidRDefault="003D4DEA" w:rsidP="00B23382">
      <w:pPr>
        <w:pStyle w:val="Ttulo1"/>
        <w:spacing w:line="276" w:lineRule="auto"/>
        <w:rPr>
          <w:rFonts w:cs="Arial"/>
          <w:szCs w:val="22"/>
        </w:rPr>
      </w:pPr>
      <w:r>
        <w:rPr>
          <w:rFonts w:cs="Arial"/>
          <w:bCs/>
          <w:color w:val="000000"/>
          <w:szCs w:val="22"/>
        </w:rPr>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w:t>
              <w:lastRenderedPageBreak/>
              <w:t>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w:t>
              <w:lastRenderedPageBreak/>
              <w:t>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w:t>
              <w:lastRenderedPageBreak/>
              <w:t xml:space="preserve">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w:t>
              <w:lastRenderedPageBreak/>
              <w:t>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w:t>
        <w:lastRenderedPageBreak/>
        <w:t>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se sujetan a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w:t>
        <w:tab/>
        <w:t xml:space="preserve">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w:t>
        <w:lastRenderedPageBreak/>
        <w:t>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Cuando la Comisión de Gobierno de IA haya elevado la relación y el CGTD no se pronuncie sobre ella en su sesión ordinaria inmediata siguiente, la propuesta habilita también el despliegue de los SBIA de riesgo aceptable, y su clasificación se somete a aprobación agregada en la sesión posterior.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w:t>
        <w:lastRenderedPageBreak/>
        <w:t>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w:t>
        <w:lastRenderedPageBreak/>
        <w:t>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t>6.5</w:t>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se sujeta 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w:t>
        <w:lastRenderedPageBreak/>
        <w:t>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6.5.4</w:t>
        <w:tab/>
        <w:t xml:space="preserve">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se sujeta 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w:t>
        <w:tab/>
        <w:t>Los SBIA generativos que utilicen información institucional incorporan mecanismos que vinculen los resultados generados con sus fuentes de información autorizadas y vigentes. Esta trazabilidad sustenta la explicabilidad exigida en el numeral 6.9.3.</w:t>
      </w:r>
    </w:p>
    <w:p w14:paraId="74054CE8"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 xml:space="preserve">El propietario del caso de uso determina las fuentes de información que el SBIA consulta y su alcance; dichas fuentes constan en la Ficha de Registro de SBIA (Anexo N.° 1). La recuperación de información se sujeta a los permisos de </w:t>
        <w:lastRenderedPageBreak/>
        <w:t>acceso que corresponden al usuario que formula la consulta, conforme al control de acceso basado en roles previsto en el numeral 6.7.2. El tratamiento de información sujeta a reserva tributaria se rige, además, por el numeral 6.7.3.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tab/>
        <w:t>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tab/>
        <w:t>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w:t>
        <w:tab/>
        <w:t>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4BA1EE45" w14:textId="77777777" w:rsidR="00E97E3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6.5.10</w:t>
        <w:tab/>
        <w:t xml:space="preserve">Los SBIA pueden incorporar componentes que consulten, recuperen y analicen información de fuentes institucionales autorizadas para fundamentar los resultados que generan, y componentes que ejecuten acciones sobre sistemas, datos o procesos con algún grado de autonomía. Estos últimos se denominan componentes agénticos o agentes de IA. Su denominación no altera la aplicación de la presente directiva al SBIA que los incorpora.</w:t>
      </w:r>
    </w:p>
    <w:p w14:paraId="3298188E"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 xml:space="preserve">Cuando un SBIA incorpore ambos tipos de componentes, le son exigibles de manera concurrente los mecanismos previstos en los numerales 6.5.5 y 6.5.6, los controles del numeral 6.7.2, la modalidad de supervisión humana que </w:t>
        <w:lastRenderedPageBreak/>
        <w:t>corresponda conforme al numeral 6.6.1 y las medidas de protección de datos personales del numeral 6.7.4.</w:t>
      </w:r>
    </w:p>
    <w:p w14:paraId="23F4A559"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Estos SBIA operan como apoyo a la actuación de la unidad de organización competente; su resultado no sustituye la decisión que a esta corresponde adoptar conforme a la normativa aplicable.</w:t>
      </w:r>
    </w:p>
    <w:p w14:paraId="3E908127" w14:textId="77777777" w:rsidR="00863A18" w:rsidRDefault="00863A18" w:rsidP="00B23382">
      <w:pPr>
        <w:pStyle w:val="SubtituloDONI"/>
        <w:spacing w:line="276" w:lineRule="auto"/>
        <w:ind w:left="851"/>
      </w:pPr>
      <w:r>
        <w:t>6.6</w:t>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 xml:space="preserve">Ha recibido capacitación específica sobre el funcionamiento, las limitaciones y los riesgos del SBIA que supervisa, incluyendo la </w:t>
        <w:lastRenderedPageBreak/>
        <w:t>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No está sujeto a incentivos, metas ni criterios de evaluación del desempeño que condicionen su juicio a la aceptación de los resultados del SBIA.</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Con anterioridad al despliegue, la ejecución de las pruebas que sustentan la medición inicial de los indicadores de sesgo previstos en el numeral 6.10.2 corresponde a la División de Control de Calidad, como prueba no funcional, conforme al literal a) del artículo 126 del ROF. Durante la operación, la medición de dichos indicadores se efectúa conforme al numeral 6.10.2. La metodología prevista en el numeral 6.1.5 desarrolla las pruebas aplicables según el tipo de SBIA. </w:t>
      </w:r>
      <w:r>
        <w:rPr>
          <w:rFonts w:ascii="Arial" w:eastAsia="Arial" w:hAnsi="Arial" w:cs="Arial"/>
          <w:color w:val="000000"/>
          <w:highlight w:val="green"/>
        </w:rPr>
        <w:t>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 xml:space="preserve">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lastRenderedPageBreak/>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w:t>
        <w:lastRenderedPageBreak/>
        <w:t xml:space="preserve">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se sujetan a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6.7.8</w:t>
        <w:tab/>
        <w:t xml:space="preserve">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se sujeta 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w:t>
        <w:lastRenderedPageBreak/>
        <w:t>materia. La conservación, el acceso y el uso de dicha información se sujetan a la reserva tributaria conforme al artículo 85 del TUO del Código Tributario y a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se sujetan a lo dispuesto en el numeral 6.7.1.</w:t>
      </w:r>
    </w:p>
    <w:p w14:paraId="5001C09F" w14:textId="77777777" w:rsidR="00931E16" w:rsidRDefault="00931E16" w:rsidP="00AF13D8">
      <w:pPr>
        <w:pStyle w:val="SubtituloDONI"/>
        <w:spacing w:line="276" w:lineRule="auto"/>
        <w:ind w:left="851"/>
      </w:pPr>
      <w:r>
        <w:t>6.8</w:t>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w:t>
        <w:tab/>
        <w:t xml:space="preserve">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w:t>
        <w:lastRenderedPageBreak/>
        <w:t>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w:t>
        <w:tab/>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lastRenderedPageBreak/>
        <w:t>6.9.3</w:t>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el artículo 163 de la Ley General de Aduanas.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w:t>
        <w:tab/>
        <w:t>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w:t>
        <w:lastRenderedPageBreak/>
        <w:t>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t>6.10</w:t>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Cuando el plan de monitoreo prevea vigilancia automatizada, esta opera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Tratándose de los indicadores de sesgo, el umbral se define con la opinión de la OII, que se pronuncia sobre los grupos que pueden resultar afectados y sobre la disparidad que resulta inaceptable.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medición de los indicadores de sesgo comprende, además de los casos observados en la operación, una muestra aleatoria de los casos sobre los que el SBIA no produjo alerta o que clasificó en la categoría de menor atención.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w:t>
        <w:tab/>
        <w:t>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 El reentrenamiento, la recalibración y el cambio de versión del modelo no alteran el identificador con que el SBIA figura en el Inventario Institucional ni la correspondencia entre cada resultado y la versión del modelo que lo produjo, de modo que un resultado pueda reconstruirse y atribuirse a su versión. Esta correspondencia forma parte del registro inmutable de auditoría previsto en el numeral 6.7.2.</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5</w:t>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 xml:space="preserve">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w:t>
        <w:lastRenderedPageBreak/>
        <w:t>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w:t>
        <w:tab/>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 El colaborador que efectúa la revisión verifica la exactitud y la pertinencia del resultado antes de incorporarlo a un producto institucional.</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 xml:space="preserve">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w:t>
        <w:lastRenderedPageBreak/>
        <w:t>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se sujeta a los controles del numeral 6.7.2. </w:t>
      </w:r>
      <w:r>
        <w:rPr>
          <w:rFonts w:ascii="Arial" w:eastAsia="Arial" w:hAnsi="Arial" w:cs="Arial"/>
          <w:color w:val="000000"/>
          <w:highlight w:val="cyan"/>
        </w:rPr>
        <w:t>El despliegue de estos modelos se sujeta, en lo que corresponda, al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Lo dispuesto en el párrafo precedente no alcanza a los SBIA ni a las herramientas de IA comunicados conforme a los numerales 7.14 y 7.15.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 xml:space="preserve">El registro, el control y el retiro de las herramientas de IA que requieren instalación en los equipos informáticos se rigen por el Procedimiento para el Registro, Control y </w:t>
        <w:lastRenderedPageBreak/>
        <w:t>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624A82CE" w14:textId="77777777" w:rsidR="00E97E3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6.11.6</w:t>
        <w:tab/>
        <w:t>Los asistentes de IA de propósito general provistos por terceros, empleados para la generación de contenido, el análisis de información, la búsqueda de conocimiento o la automatización de tareas, constituyen herramientas de IA conforme al glosario de la presente directiva y se rigen por los numerales 6.11.1 a 6.11.5, incluida la regla del numeral 6.11.4 sobre las herramientas que además constituyen un SBIA.</w:t>
      </w:r>
    </w:p>
    <w:p w14:paraId="7566F580"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El colaborador que utiliza estos asistentes conserva la responsabilidad sobre el contenido que elabora y sobre la decisión en que lo emplea.</w:t>
      </w:r>
    </w:p>
    <w:p w14:paraId="30C0DE66" w14:textId="77777777" w:rsidR="00863A18" w:rsidRPr="00923C59" w:rsidRDefault="00863A18" w:rsidP="00B23382">
      <w:pPr>
        <w:pStyle w:val="SubtituloDONI"/>
        <w:spacing w:line="276" w:lineRule="auto"/>
        <w:ind w:left="851"/>
      </w:pPr>
      <w:r>
        <w:t>6.12</w:t>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 xml:space="preserve">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w:t>
        <w:lastRenderedPageBreak/>
        <w:t>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w:t>
        <w:tab/>
        <w:t>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w:t>
        <w:tab/>
        <w:t>Capacitación y fortalecimiento de capacidades</w:t>
      </w:r>
    </w:p>
    <w:p w14:paraId="6CBAEB55" w14:textId="77777777" w:rsidR="00D63B50" w:rsidRPr="00D63B50" w:rsidRDefault="00D63B50" w:rsidP="00D63B50">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fortalece de manera progresiva y sistemática las capacidades y competencias de su personal en materia de SBIA mediante acciones formativas.</w:t>
      </w:r>
    </w:p>
    <w:p w14:paraId="59E31603" w14:textId="77777777" w:rsidR="00D63B50" w:rsidRPr="00D63B50" w:rsidRDefault="00D63B50" w:rsidP="00D63B50">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necesidades de capacitación asociadas a los distintos roles, los contenidos formativos, modalidades y los mecanismos de evaluación de resultados se </w:t>
        <w:lastRenderedPageBreak/>
        <w:t>determinan en el marco normativo del Plan de Desarrollo de las Personas (PDP), dentro de los plazos establecidos.</w:t>
      </w:r>
    </w:p>
    <w:p w14:paraId="4ED0D1CA" w14:textId="21B774CF" w:rsidR="00462A57" w:rsidRPr="00833CDE" w:rsidRDefault="00D63B50" w:rsidP="00D63B50">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En tanto la Comisión de Gobierno de IA no formule la propuesta correspondiente para su incorporación en el PDP,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w:t>
        <w:tab/>
        <w:t>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tab/>
        <w:t>En el desarrollo, la implementación y el uso de los SBIA, la SUNAT adopta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w:t>
        <w:lastRenderedPageBreak/>
        <w:t xml:space="preserve">para la Cooperación y el Desarrollo Económico (OCDE) en materia de inteligencia artificial, conforme al numeral 28.9 del artículo 28 del RLIA, y los Principios Rectores del Proceso de Hiroshima del G7.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w:t>
        <w:tab/>
        <w:t>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w:t>
        <w:tab/>
        <w:t>Toda iniciativa, requerimiento o proyecto que incorpore o prevea un componente basado en IA requiere la opinión técnica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Cuando otra unidad de organización se ha pronunciado dentro de su competencia, la Comisión de Gobierno de IA no evalúa nuevamente esa materia: toma su pronunciamiento y se pronuncia solo sobre el componente de IA.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lastRenderedPageBreak/>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w:t>
        <w:tab/>
        <w:t>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w:t>
        <w:tab/>
        <w:t>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w:t>
        <w:tab/>
        <w:t>En los programas y proyectos institucionales comprendidos en el ámbito de aplicación del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En estos casos la opinión se incorpora a la evaluación del cambio y acompaña la solicitud, cualquiera sea la vía de aprobación que el MGPP le asigne.</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w:t>
        <w:tab/>
        <w:t>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se sujeta al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lastRenderedPageBreak/>
        <w:t>6.15.6</w:t>
        <w:tab/>
        <w:t>Las unidades de organización competentes de cada instrumento de gestión incorporan en sus documentos normativos la verificación del componente de IA y la opinión de la Comisión de Gobierno de IA, conforme al numeral 7.6. Esta incorporación alcanza a la gestión de la demanda informática; la del Modelo de Gobernabilidad de Programas y Proyectos se rige por el numeral 6.15.10.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w:t>
        <w:tab/>
        <w:t>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lastRenderedPageBreak/>
        <w:t>6.15.8</w:t>
        <w:tab/>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6.15.9</w:t>
        <w:tab/>
        <w:t>Cuando se requiera sustentar la opinión de la Comisión ante el Comité de Proyecto, concurre a la sesión el Coordinador de la Comisión de Gobierno de IA o el miembro que esta designe. Su concurrencia no altera la composición ni las competencias del Comité de Proyecto. La opinión de la Comisión de Gobierno de IA recae sobre el componente de IA: su pertinencia, su clasificación de riesgo, la evaluación de impacto algorítmico cuando corresponda y los controles especializados que le apliquen. Las competencias del Comité de Proyecto son las que le asigna el MGPP.</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6.15.10</w:t>
        <w:tab/>
        <w:t>La Oficina Nacional de Planeamiento y Estudios Económicos incorpora en el MGPP el momento y la instancia ante la que se recaba la opinión de la Comisión de Gobierno de IA, en ejercicio de sus funciones (artículo 35, segundo párrafo, y artículo 36, literal g, del ROF). La incorporación se efectúa mediante el acto que corresponde a dicha Oficina; la presente directiva no modifica el MGPP. El plazo se establece mediante acuerdo del CGTD, adoptado en su primera sesión posterior a la entrada en vigencia de la presente directiva, y la Comisión de Gobierno de IA hace seguimiento de su cumplimiento y lo reporta en el informe trimestral previsto en el numeral 6.9.5.</w:t>
      </w:r>
    </w:p>
    <w:p w14:paraId="0B211A7C" w14:textId="77777777" w:rsidR="00326739" w:rsidRDefault="001E5BAD" w:rsidP="001E5BAD">
      <w:pPr>
        <w:tabs>
          <w:tab w:val="left" w:pos="1276"/>
        </w:tabs>
        <w:spacing w:after="60" w:line="276" w:lineRule="auto"/>
        <w:ind w:left="1276" w:hanging="709"/>
        <w:jc w:val="both"/>
        <w:rPr>
          <w:rFonts w:ascii="Arial" w:hAnsi="Arial" w:cs="Arial"/>
        </w:rPr>
      </w:pPr>
      <w:r>
        <w:rPr>
          <w:rFonts w:ascii="Arial" w:hAnsi="Arial" w:cs="Arial"/>
        </w:rPr>
        <w:t>6.15.11</w:t>
        <w:tab/>
        <w:t xml:space="preserve">La Comisión de Gobierno de IA emite su pronunciamiento sobre la Ficha de Evaluación de Caso de Uso con anterioridad al hito de la etapa 2 previsto en el numeral 6.1.1. Las modalidades de deliberación y de pronunciamiento de la Comisión de Gobierno de IA, y las que corresponden a los SBIA de riesgo aceptable, se establecen en el acto de conformación previsto en el numeral 7.3. Cualquier miembro puede solicitar que un caso determinado se trate de manera deliberativa. Cuando la Ficha se encuentre incompleta, la Comisión de Gobierno de IA requiere por única vez la información faltante y la oportunidad prevista en el presente numeral se cuenta desde la subsanación. La Comisión de Gobierno de IA reporta los tiempos efectivos de atención en el informe trimestral previsto en el numeral 6.9.5 y, sobre esa base, propone al CGTD los plazos máximos que correspondan.</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En tanto no se designe al OIA, el Coordinador designado conforme al numeral 7.3 ejerce las funciones de coordinación técnica en materia de IA.</w:t>
      </w:r>
      <w:r>
        <w:rPr>
          <w:b w:val="0"/>
          <w:bCs w:val="0"/>
        </w:rPr>
        <w:t xml:space="preserve"> </w:t>
      </w:r>
      <w:r>
        <w:rPr>
          <w:b w:val="0"/>
          <w:bCs w:val="0"/>
          <w:highlight w:val="green"/>
        </w:rPr>
        <w:t xml:space="preserve">Designado el OIA, la coordinación de la Comisión de Gobierno de IA recae en él, salvo que los lineamientos de la SGTD </w:t>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7.12</w:t>
        <w:tab/>
        <w:t>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tab/>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w:t>
      </w:r>
    </w:p>
    <w:p w14:paraId="2DE8140D" w14:textId="77777777" w:rsidR="00B10861" w:rsidRDefault="00000000">
      <w:pPr>
        <w:pStyle w:val="SubtituloDONI"/>
        <w:spacing w:line="276" w:lineRule="auto"/>
        <w:ind w:left="851"/>
        <w:rPr>
          <w:b w:val="0"/>
          <w:bCs w:val="0"/>
        </w:rPr>
      </w:pPr>
      <w:r>
        <w:rPr>
          <w:b w:val="0"/>
          <w:bCs w:val="0"/>
        </w:rPr>
        <w:t>7.14</w:t>
        <w:tab/>
        <w:t>Las unidades de organización comunican a la Comisión de Gobierno de IA los SBIA que, a la entrada en vigencia de la presente directiva, se encuentren en desarrollo o en operación. Dichos SBIA se incorporan al Inventario Institucional de SBIA y su registro se reporta en el informe trimestral previsto en el numeral 6.9.5. La Comisión de Gobierno de IA determina su nivel de riesgo conforme al numeral 6.2.2 y, cuando corresponda la calificación de riesgo alto, dispone la formulación de la Evaluación de Impacto Algorítmico prevista en el numeral 6.4.1. Los hitos de control de las etapas del ciclo de vida ya superadas se sustituyen por una verificación única de la Comisión de Gobierno de IA, que se efectúa con anterioridad a la siguiente puesta en producción o al siguiente cambio significativo calificado conforme al numeral 6.10.5, y que comprende los mecanismos previstos en los numerales 6.5.5, 6.5.6, 6.6.3 y 6.7.2. El propietario del caso de uso ejecuta la adecuación.</w:t>
      </w:r>
    </w:p>
    <w:p w14:paraId="2DE8141E" w14:textId="77777777" w:rsidR="00B10861" w:rsidRDefault="00000000">
      <w:pPr>
        <w:pStyle w:val="SubtituloDONI"/>
        <w:spacing w:line="276" w:lineRule="auto"/>
        <w:ind w:left="851"/>
        <w:rPr>
          <w:b w:val="0"/>
          <w:bCs w:val="0"/>
        </w:rPr>
      </w:pPr>
      <w:r>
        <w:rPr>
          <w:b w:val="0"/>
          <w:bCs w:val="0"/>
        </w:rPr>
        <w:t>7.15</w:t>
        <w:tab/>
        <w:t xml:space="preserve">Las unidades de organización comunican a la Comisión de Gobierno de IA las herramientas de IA que, a la entrada en vigencia de la presente directiva, se encuentren en uso. La Comisión de Gobierno de IA remite la relación a la GA, que las evalúa conforme al numeral 6.11.5 y las incorpora al catálogo institucional o dispone su cese. El estado de esta comunicación se reporta en el informe trimestral previsto en el numeral 6.9.5. En tanto la GA no se pronuncie, las herramientas comunicadas continúan en uso. Se exceptúan las herramientas que traten información sujeta a reserva tributaria fuera de la infraestructura bajo control de la SUNAT, cuyo uso cesa de inmediato conforme al numeral 6.7.3, y las que constituyan uso indebido conforme al artículo 23 del RLIA, a las que se aplica el numeral 6.2.6. La comunicación efectuada conforme al presente numeral no constituye incumplimiento.</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lastRenderedPageBreak/>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D63B50"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o in-command.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 El identificador del SBIA y su correspondencia con la versión del modelo se conservan conforme al numeral 6.10.4.</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incluida la muestra aleatoria prevista en el numeral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del acuerdo y de la fecha en que se adoptó y, de haberse adoptado en sesión, del acta correspondiente.</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49298" w14:textId="77777777" w:rsidR="00A50F7F" w:rsidRDefault="00A50F7F">
      <w:pPr>
        <w:spacing w:after="0" w:line="240" w:lineRule="auto"/>
      </w:pPr>
      <w:r>
        <w:separator/>
      </w:r>
    </w:p>
  </w:endnote>
  <w:endnote w:type="continuationSeparator" w:id="0">
    <w:p w14:paraId="58855FB6" w14:textId="77777777" w:rsidR="00A50F7F" w:rsidRDefault="00A50F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AC450" w14:textId="77777777" w:rsidR="00A50F7F" w:rsidRDefault="00A50F7F">
      <w:pPr>
        <w:spacing w:after="0" w:line="240" w:lineRule="auto"/>
      </w:pPr>
      <w:r>
        <w:separator/>
      </w:r>
    </w:p>
  </w:footnote>
  <w:footnote w:type="continuationSeparator" w:id="0">
    <w:p w14:paraId="2433A098" w14:textId="77777777" w:rsidR="00A50F7F" w:rsidRDefault="00A50F7F">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1F610C"/>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2860"/>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823E6"/>
    <w:rsid w:val="00590BAB"/>
    <w:rsid w:val="00594919"/>
    <w:rsid w:val="005B30EE"/>
    <w:rsid w:val="005B3F5B"/>
    <w:rsid w:val="005C21BA"/>
    <w:rsid w:val="005C3A70"/>
    <w:rsid w:val="005C4042"/>
    <w:rsid w:val="005C67EA"/>
    <w:rsid w:val="005D216F"/>
    <w:rsid w:val="005D5880"/>
    <w:rsid w:val="005D662A"/>
    <w:rsid w:val="005D754C"/>
    <w:rsid w:val="005F24C2"/>
    <w:rsid w:val="005F3265"/>
    <w:rsid w:val="0060099A"/>
    <w:rsid w:val="00603B7D"/>
    <w:rsid w:val="00617198"/>
    <w:rsid w:val="006248C0"/>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C53D5"/>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2F54"/>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04AE5"/>
    <w:rsid w:val="00A13B62"/>
    <w:rsid w:val="00A149DD"/>
    <w:rsid w:val="00A15156"/>
    <w:rsid w:val="00A154AA"/>
    <w:rsid w:val="00A2302D"/>
    <w:rsid w:val="00A3530D"/>
    <w:rsid w:val="00A402D8"/>
    <w:rsid w:val="00A447B6"/>
    <w:rsid w:val="00A46D47"/>
    <w:rsid w:val="00A50F7F"/>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1508"/>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428B"/>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63B50"/>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97E31"/>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10701</TotalTime>
  <Pages>58</Pages>
  <Words>19798</Words>
  <Characters>108891</Characters>
  <Application>Microsoft Office Word</Application>
  <DocSecurity>0</DocSecurity>
  <Lines>907</Lines>
  <Paragraphs>256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255</cp:revision>
  <dcterms:created xsi:type="dcterms:W3CDTF">2026-03-23T21:09:00Z</dcterms:created>
  <dcterms:modified xsi:type="dcterms:W3CDTF">2026-09-03T21:05:00Z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