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4</w:t>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4</w:t>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4</w:t>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6</w:t>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7</w:t>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10</w:t>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21</w:t>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22</w:t>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C35AD0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2F96DBBD" w14:textId="0BC31A90"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C35ADE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Pr>
          <w:b w:val="0"/>
          <w:bCs w:val="0"/>
          <w:color w:val="000000"/>
        </w:rPr>
        <w:t xml:space="preserve">MGPP: Modelo de Gobernabilidad de 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Pr>
          <w:rFonts w:ascii="Arial" w:hAnsi="Arial" w:cs="Arial"/>
          <w:highlight w:val="green"/>
        </w:rPr>
        <w:t xml:space="preserve">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19022123"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07C052BD"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0D9FD36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 xml:space="preserve">Decreto Supremo N.° 029-2021-PCM (18/02/2021), que aprueba el Reglamento del Decreto Legislativo N.° 1412, y sus modificatorias aprobadas por Decreto Supremo N.° 075-2023-PCM y Decreto Supremo N.° 098-2025-PCM (31/07/2025).</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40BF5E87" w14:textId="28E4149D"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CFF0631" w14:textId="5061B72D"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050-2019/SUNAT (06/03/2019), que aprueba los documentos del Sistema de Gestión de Seguridad de la Información de la SUNAT, </w:t>
        <w:lastRenderedPageBreak/>
        <w:t>entre ellos el Manual de Políticas del Sistema de Gestión de Seguridad de la Información (SGSI-MA-03).</w:t>
      </w:r>
    </w:p>
    <w:p w14:paraId="64BA9802" w14:textId="68AD2ED5"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 xml:space="preserve">Resolución de Oficina N.° 001-2024-SUNAT/1V0000 (16/12/2024), que aprueba la Metodología para la formulación, aprobación y control de los Documentos Normativos Institucionales (METDONI) Versión 1.4.</w:t>
      </w:r>
    </w:p>
    <w:p w14:paraId="4208E65D" w14:textId="23A3D6C9"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 xml:space="preserve">Resolución de Oficina N.° 000002-2023-SUNAT/1V0000 (22/12/2023), que aprueba la Metodología para la Gestión por Procesos (METGEP) Versión 5.0.</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Sus etapas son las previstas en el numeral 6.1.1 de la presente directiva. [ISO/IEC 22989:2022, sección 3.2.1; 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adquisición o implementación. </w:t>
      </w:r>
      <w:r>
        <w:rPr>
          <w:b w:val="0"/>
          <w:bCs w:val="0"/>
          <w:color w:val="000000"/>
          <w:highlight w:val="yellow"/>
          <w:lang w:val="en-US"/>
        </w:rPr>
        <w:t xml:space="preserve">[D.S. N.° 115-2025-PCM, Art. 30; 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EA5FC0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 xml:space="preserve">[D.S. N.° 115-2025-PCM, Art. 7 lit. h);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 xml:space="preserve">[D.S. N.° 115-2025-PCM, Art. 7 lit. h);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 xml:space="preserve">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 xml:space="preserve">[Ley N.° 31814, Art. 2; D.S. N.° 115-2025-PCM, Art. 6 lit. 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2EA5FC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 xml:space="preserve">Política de IA</w:t>
      </w:r>
      <w:r>
        <w:rPr>
          <w:rFonts w:ascii="Arial" w:eastAsia="Arial" w:hAnsi="Arial" w:cs="Arial"/>
          <w:color w:val="000000"/>
        </w:rPr>
        <w:t>, en concordancia con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0AA671F2" w14:textId="77777777" w:rsidR="00E34945" w:rsidRDefault="00E34945" w:rsidP="00E34945">
      <w:pPr>
        <w:pStyle w:val="SubtituloDONI"/>
        <w:spacing w:line="276" w:lineRule="auto"/>
        <w:ind w:left="851"/>
      </w:pPr>
      <w:r>
        <w:t>5.3</w:t>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tab/>
        <w:t xml:space="preserve">Las funciones de la Comisión de Gobierno de IA, en apoyo al CGTD, se definen en el numeral 5.4 y en las disposiciones específicas de la presente directiva.</w:t>
      </w:r>
    </w:p>
    <w:p w14:paraId="6F4FB7E8" w14:textId="77777777" w:rsidR="00863A18" w:rsidRPr="00923C59" w:rsidRDefault="00863A18" w:rsidP="00B23382">
      <w:pPr>
        <w:pStyle w:val="SubtituloDONI"/>
        <w:spacing w:line="276" w:lineRule="auto"/>
        <w:ind w:left="851"/>
      </w:pPr>
      <w:r>
        <w:t>5.4</w:t>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el Plan de Acción de Inteligencia Artificial, conforme al numeral 7.11.</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 xml:space="preserve">Preparar la propuesta del Plan de Acción de Inteligencia Artificial y sus actualizaciones, conforme al numeral 7.11.</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lastRenderedPageBreak/>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05CF9C21"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05CF9C22"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Centro Nacional de Seguridad Digital (CNSD) los incidentes de seguridad digital que involucren un SBIA y los informa a la máxima autoridad administrativa de la entidad, conforme a la Directiva N.° 001-2023-PCM/SGTD. Informa al CGTD los que resulten críticos.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w:t>
              <w:lastRenderedPageBreak/>
              <w:t xml:space="preserve">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Contribuye a la evaluación del componente de IA con el </w:t>
              <w:lastRenderedPageBreak/>
              <w:t xml:space="preserve">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 xml:space="preserve">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w:t>
        <w:lastRenderedPageBreak/>
        <w:t xml:space="preserve">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elaboran, conforme al numeral 6.5.1. Se define el mecanismo de supervisión humana, conforme al numeral 6.6. Para los SBIA de </w:t>
              <w:lastRenderedPageBreak/>
              <w:t>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competente según la materia, conforme al numeral 6.5.4. Para SBIA de riesgo alto, </w:t>
              <w:lastRenderedPageBreak/>
              <w:t>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w:t>
              <w:lastRenderedPageBreak/>
              <w:t>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 xml:space="preserve">Retiro del SBIA asegurando la preservación de los registros y la continuidad del servicio. Se </w:t>
              <w:lastRenderedPageBreak/>
              <w:t>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conforme al numeral 6.1.2. Actualización del </w:t>
              <w:lastRenderedPageBreak/>
              <w:t>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 xml:space="preserve">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w:t>
        <w:lastRenderedPageBreak/>
        <w:t xml:space="preserve">acogidas, estas se elevan al CGTD, que se pronuncia con anterioridad a la aprobación. </w:t>
      </w:r>
      <w:r>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6.1.6  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w:t>
        <w:lastRenderedPageBreak/>
        <w:t xml:space="preserve">evaluación de viabilidad de acuerdo al ciclo de vida descrito en el 6.1.1. La clasificación aplica los criterios complementarios de la Matriz de Clasificación de Riesgos de IA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 xml:space="preserve">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 xml:space="preserve">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337A84A1" w14:textId="017012A1"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 xml:space="preserve">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1C5BB831" w14:textId="77777777" w:rsidR="00863A18" w:rsidRPr="00923C59" w:rsidRDefault="00863A18" w:rsidP="00B23382">
      <w:pPr>
        <w:pStyle w:val="SubtituloDONI"/>
        <w:spacing w:line="276" w:lineRule="auto"/>
        <w:ind w:left="851"/>
      </w:pPr>
      <w:r>
        <w:t>6.3</w:t>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w:t>
        <w:lastRenderedPageBreak/>
        <w:t>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w:t>
        <w:lastRenderedPageBreak/>
        <w:t xml:space="preserve">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 xml:space="preserve">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C718501" w14:textId="7EFAD5DE" w:rsidR="003D4DEA" w:rsidRDefault="005C3A70"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6.5.7   La publicación del código fuente de los SBIA financiados con fondos públicos, con licencia libre o abierta en la Plataforma Nacional de Software Público Peruano (PNSSP), prevista en el numeral 28.8 del artículo 28 del RLIA, se sujeta a la determinación previa de su publicabilidad.</w:t>
      </w:r>
      <w:r>
        <w:rPr>
          <w:rFonts w:ascii="Arial" w:eastAsia="Arial" w:hAnsi="Arial" w:cs="Arial"/>
          <w:color w:val="000000"/>
        </w:rPr>
        <w:t xml:space="preserve"> </w:t>
      </w:r>
      <w:r>
        <w:rPr>
          <w:rFonts w:ascii="Arial" w:eastAsia="Arial" w:hAnsi="Arial" w:cs="Arial"/>
          <w:color w:val="000000"/>
          <w:highlight w:val="green"/>
        </w:rPr>
        <w:t xml:space="preserve">Dicha determinación verifica que el código no revele información sujeta a reserva tributaria conforme al artículo 85 del TUO del Código Tributario. Verifica asimismo que no revele reglas de detección de riesgo cuya divulgación comprometa la función de control. La GA conduce la determinación de publicabilidad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La publicabilidad resulta de dichas opiniones. La GDS pone a disposición el código fuente cuya publicación se haya determinado procedente, conforme a los mecanismos que establezca la Plataforma Nacional de Software Público </w:t>
        <w:lastRenderedPageBreak/>
        <w:t xml:space="preserve">Peruano. La determinación y su resultado constan en la Ficha de Registro de SBIA (Anexo N.° 1) y, cuando el código no resulte publicable, se consigna igualmente la justificación legal de la restricción. Cuando la determinación comprenda el sentido y el alcance de las normas tributarias o aduaneras, la GA solicita la opinión de la Intendencia Nacional Jurídico Tributaria o de la Intendencia Nacional Jurídico Aduanera, según la materia.</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 xml:space="preserve">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57F9E2B1" w14:textId="77777777" w:rsidR="00863A18" w:rsidRPr="00923C59" w:rsidRDefault="00863A18" w:rsidP="00B23382">
      <w:pPr>
        <w:pStyle w:val="SubtituloDONI"/>
        <w:spacing w:line="276" w:lineRule="auto"/>
        <w:ind w:left="851"/>
      </w:pPr>
      <w:r>
        <w:t>6.7</w:t>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 xml:space="preserve">Para los SBIA de riesgo alto y para los SBIA de riesgo aceptable que interactúen directamente con el administrado, incorporen componentes generativos o procesen datos personales o información sujeta a reserva tributaria, el custodio técnico implementa como mínimo: </w:t>
      </w:r>
      <w:r>
        <w:rPr>
          <w:rFonts w:ascii="Arial" w:eastAsia="Arial" w:hAnsi="Arial" w:cs="Arial"/>
          <w:color w:val="000000"/>
          <w:highlight w:val="yellow"/>
        </w:rPr>
        <w:t xml:space="preserve">controles de contención (guardrails) de entrada y salida; controles de acceso basados en roles (RBAC); registro inmutable de auditoría (logs) de todas las interacciones; evaluación de vulnerabilidades conforme al OWASP Top 10 para aplicaciones LLM, en la versión que determine el documento normativo del numeral 6.7.7;</w:t>
      </w:r>
      <w:r>
        <w:rPr>
          <w:rFonts w:ascii="Arial" w:eastAsia="Arial" w:hAnsi="Arial" w:cs="Arial"/>
          <w:color w:val="000000"/>
          <w:highlight w:val="green"/>
        </w:rPr>
        <w:t xml:space="preserve"> 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t xml:space="preserve"> </w:t>
      </w:r>
      <w:r>
        <w:rPr>
          <w:rFonts w:ascii="Arial" w:eastAsia="Arial" w:hAnsi="Arial" w:cs="Arial"/>
          <w:color w:val="000000"/>
          <w:highlight w:val="green"/>
        </w:rPr>
        <w:t xml:space="preserve">Su implementación se verifica en la etapa 5 del numeral 6.1.1, conforme al </w:t>
        <w:lastRenderedPageBreak/>
        <w:t xml:space="preserve">numeral 6.2.5. Se registra en la Ficha de Registro de SBIA (Anexo N.° 1). </w:t>
      </w:r>
      <w:r>
        <w:rPr>
          <w:rFonts w:ascii="Arial" w:eastAsia="Arial" w:hAnsi="Arial" w:cs="Arial"/>
          <w:color w:val="000000"/>
          <w:highlight w:val="yellow"/>
        </w:rPr>
        <w:t>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 xml:space="preserve">La Gerencia de Operaciones y Soporte a Usuarios adecúa el Procedimiento de Gestión de Incidentes (A-03.1.1-PR-002) para comprender los incidentes propios del SBIA y su criterio de cierre, conforme al numeral 7.6 de la presente directiva. En tanto no se apruebe dicha adecuación, estos </w:t>
        <w:lastRenderedPageBreak/>
        <w:t>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6.7.8  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22353745" w:rsidR="00931E16" w:rsidRDefault="00931E16" w:rsidP="00AF13D8">
      <w:pPr>
        <w:pStyle w:val="SubtituloDONI"/>
        <w:spacing w:line="276" w:lineRule="auto"/>
        <w:ind w:left="851"/>
      </w:pPr>
      <w:r>
        <w:t>6.8</w:t>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lastRenderedPageBreak/>
        <w:t>6.8.3</w:t>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6.9.5    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 xml:space="preserve">El estado del gobierno de IA institucional se informa como sección del informe de seguimiento del Plan de Gobierno Digital que presenta el CGTD, con la </w:t>
        <w:lastRenderedPageBreak/>
        <w:t>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 xml:space="preserve">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0FD1A58F" w14:textId="702BE45E"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Pr>
          <w:rFonts w:ascii="Arial" w:hAnsi="Arial" w:cs="Arial"/>
          <w:highlight w:val="green"/>
        </w:rPr>
        <w:t xml:space="preserve">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w:t>
        <w:lastRenderedPageBreak/>
        <w:t xml:space="preserve">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 xml:space="preserve">Del uso responsable y ético, de las capacidades y proveedores</w:t>
      </w:r>
    </w:p>
    <w:p w14:paraId="7E6D459C" w14:textId="77777777" w:rsidR="00863A18" w:rsidRPr="00923C59" w:rsidRDefault="00863A18" w:rsidP="00B23382">
      <w:pPr>
        <w:pStyle w:val="SubtituloDONI"/>
        <w:spacing w:line="276" w:lineRule="auto"/>
        <w:ind w:left="851"/>
      </w:pPr>
      <w:r>
        <w:t>6.11</w:t>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 xml:space="preserve">El despliegue de estos </w:t>
        <w:lastRenderedPageBreak/>
        <w:t>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 xml:space="preserve">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 xml:space="preserve">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 xml:space="preserve">La unidad de organización que formula los términos de referencia o las especificaciones técnicas incorpora en ellos las cláusulas que el contrato debe </w:t>
        <w:lastRenderedPageBreak/>
        <w:t xml:space="preserve">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 xml:space="preserve">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La finalidad y los principios institucionales aplicables a los 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El impacto social y ambiental de los 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Esta disposición desarrolla el principio rector de sensibilización y educación en IA establecido en el literal f) del artículo 7 del RLIA,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 xml:space="preserve">Los fundamentos y el ciclo de vida de los SBIA.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Esta disposición se implementa conforme al numeral 28.5 del artículo 28 del RLIA y en concordancia con el numeral 7.2 y el Anexo A.4 de la NTP</w:t>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69C7D64F" w14:textId="77777777" w:rsidR="000153F0" w:rsidRDefault="00000000">
      <w:pPr>
        <w:pStyle w:val="SubtituloDONI"/>
        <w:spacing w:line="276" w:lineRule="auto"/>
        <w:ind w:left="851"/>
      </w:pPr>
      <w:r>
        <w:rPr>
          <w:highlight w:val="yellow"/>
        </w:rPr>
        <w:t>6.14</w:t>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6.14.1</w:t>
        <w:tab/>
        <w:t xml:space="preserve">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 xml:space="preserve">Esta disposición desarrolla el numeral 28.9 del artículo 28 del RLIA.</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w:t>
        <w:lastRenderedPageBreak/>
        <w:t xml:space="preserve">prioridad ni la viabilidad presupuestal de la iniciativa, que corresponden a los instrumentos de gestión respectivos y a las instancias competentes. 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Favorable con condiciones, que identifica los controles que corresponden conforme al numeral 6.2.5 y cuya implementación se verifica en la etapa 5 del numeral 6.1.1. 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 xml:space="preserve">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6.15.3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tab/>
      </w:r>
      <w:r>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Pr>
          <w:rFonts w:ascii="Arial" w:hAnsi="Arial" w:cs="Arial"/>
          <w:highlight w:val="green"/>
        </w:rPr>
        <w:t xml:space="preserve">6.15.5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482CBA45" w14:textId="0E4C9FB1"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p>
    <w:p w14:paraId="76F2D410"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Pr>
          <w:b w:val="0"/>
          <w:bCs w:val="0"/>
          <w:color w:val="000000"/>
          <w:highlight w:val="green"/>
        </w:rPr>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5617D77E" w14:textId="668AAD48" w:rsidR="0018147B" w:rsidRDefault="00000000" w:rsidP="00174519">
      <w:pPr>
        <w:pStyle w:val="SubtituloDONI"/>
        <w:spacing w:line="276" w:lineRule="auto"/>
        <w:ind w:left="851"/>
        <w:rPr>
          <w:b w:val="0"/>
          <w:bCs w:val="0"/>
        </w:rPr>
      </w:pPr>
      <w:r>
        <w:rPr>
          <w:b w:val="0"/>
          <w:bCs w:val="0"/>
          <w:highlight w:val="green"/>
        </w:rPr>
        <w:t>7.9</w:t>
        <w:tab/>
        <w:t xml:space="preserve">El detalle de aplicación de los Anexos (los formatos, los criterios de registro, los catálogos de valores y los indicadores operativos, así como los campos adicionales que resulten necesarios) se establece en los documentos normativos institucionales </w:t>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Resolución Ministerial. </w:t>
      </w:r>
      <w:r>
        <w:rPr>
          <w:b w:val="0"/>
          <w:bCs w:val="0"/>
          <w:highlight w:val="green"/>
        </w:rPr>
        <w:t>En tanto no se emitan dichos lineamientos y no se designe al OIA, el Coordinador designado conforme al numeral 7.3 ejerce las funciones de coordinación técnica en materia de IA.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Pr>
                <w:rFonts w:ascii="Arial" w:eastAsia="Arial" w:hAnsi="Arial" w:cs="Arial"/>
                <w:b/>
                <w:bCs/>
              </w:rPr>
              <w:t xml:space="preserve">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3D4C74B2" w14:textId="777777B3"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B4" w14:textId="73D4C0B5"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B6" w14:textId="51C3B1B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B8" w14:textId="6A9151B9"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3D4C74C1" w14:textId="777777C2"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C3" w14:textId="73D4C0C4"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C5" w14:textId="51C3B1C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C7" w14:textId="6A9151C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3D4C74C9" w14:textId="777777CA"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CB" w14:textId="73D4C0CC"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CD" w14:textId="51C3B1CE"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CF" w14:textId="6A9151D0"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3D4C74D1" w14:textId="777777D2"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D3" w14:textId="73D4C0D4"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D5" w14:textId="51C3B1D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D7" w14:textId="6A9151D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3D4C74D9" w14:textId="777777DA"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DB" w14:textId="73D4C0DC"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DD" w14:textId="51C3B1DE"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DF" w14:textId="6A9151E0"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A1"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 xml:space="preserve">Cumplimiento normativo: Ley IA, RLIA, protección de datos personales y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443EB5A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2 — Necesidad y pertinencia del uso de IA:</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Alternativa sin inteligencia artificial: describir la solución basada en reglas, 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Costo de gobernanza previsto (monitoreo, reentrenamiento, supervisión humana y evaluación periódica)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 xml:space="preserve">Sección 3 — 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Punto del proceso en que interviene el SBIA y momento en que un funcionario conoce su resultado.</w:t>
      </w:r>
    </w:p>
    <w:p w14:paraId="77DBA450" w14:textId="31B8CBF9"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t xml:space="preserve">Sección 4 — Datos:</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lastRenderedPageBreak/>
        <w:t xml:space="preserve">Datos requeridos: fuentes, tipos y presencia de datos personales, de datos sensibles, de datos biométricos o de información sujeta 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5 — Efecto sobre las personas y los procesos:</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Efecto del resultado del SBIA en derechos, obligaciones o en la atención de los 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Clasificación de riesgo preliminar sugerida por el propietario del caso de uso conforme al 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6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BBB6" w14:textId="77777777" w:rsidR="003320CB" w:rsidRDefault="003320CB">
      <w:pPr>
        <w:spacing w:after="0" w:line="240" w:lineRule="auto"/>
      </w:pPr>
      <w:r>
        <w:separator/>
      </w:r>
    </w:p>
  </w:endnote>
  <w:endnote w:type="continuationSeparator" w:id="0">
    <w:p w14:paraId="1F9ABFD8" w14:textId="77777777" w:rsidR="003320CB" w:rsidRDefault="00332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F47C" w14:textId="77777777" w:rsidR="003320CB" w:rsidRDefault="003320CB">
      <w:pPr>
        <w:spacing w:after="0" w:line="240" w:lineRule="auto"/>
      </w:pPr>
      <w:r>
        <w:separator/>
      </w:r>
    </w:p>
  </w:footnote>
  <w:footnote w:type="continuationSeparator" w:id="0">
    <w:p w14:paraId="47061894" w14:textId="77777777" w:rsidR="003320CB" w:rsidRDefault="003320CB">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10571</TotalTime>
  <Pages>47</Pages>
  <Words>16529</Words>
  <Characters>90912</Characters>
  <Application>Microsoft Office Word</Application>
  <DocSecurity>0</DocSecurity>
  <Lines>757</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246</cp:revision>
  <dcterms:created xsi:type="dcterms:W3CDTF">2026-03-23T21:09:00Z</dcterms:created>
  <dcterms:modified xsi:type="dcterms:W3CDTF">2026-08-28T16:26:00Z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