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sidRPr="00577C4C">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sidRPr="00577C4C">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 xml:space="preserve">MGPP: Modelo de </w:t>
      </w:r>
      <w:r w:rsidR="0074173E">
        <w:rPr>
          <w:b w:val="0"/>
          <w:bCs w:val="0"/>
          <w:color w:val="000000"/>
        </w:rPr>
        <w:t>Gobernabilidad</w:t>
      </w:r>
      <w:r w:rsidRPr="00577C4C">
        <w:rPr>
          <w:b w:val="0"/>
          <w:bCs w:val="0"/>
          <w:color w:val="000000"/>
        </w:rPr>
        <w:t xml:space="preserve"> de </w:t>
      </w:r>
      <w:r>
        <w:rPr>
          <w:b w:val="0"/>
          <w:bCs w:val="0"/>
          <w:color w:val="000000"/>
        </w:rPr>
        <w:t>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sidRPr="00577C4C">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sidRPr="00577C4C">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66A61B92" w:rsidR="00524301" w:rsidRPr="00641EAF" w:rsidRDefault="00524301" w:rsidP="00641EAF">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 xml:space="preserve">Resolución de Superintendencia N.° 000144-2026/SUNAT (30/07/2026), que </w:t>
      </w:r>
      <w:r w:rsidRPr="00641EAF">
        <w:rPr>
          <w:b w:val="0"/>
          <w:bCs w:val="0"/>
          <w:color w:val="000000"/>
          <w:highlight w:val="green"/>
        </w:rPr>
        <w:t>aprueba la Política de uso seguro, responsable y ético de los sistemas basados en inteligencia artificial en la Superintendencia Nacional de Aduanas y de Administración Tributaria</w:t>
      </w:r>
      <w:r w:rsidR="00641EAF" w:rsidRPr="00641EAF">
        <w:rPr>
          <w:rFonts w:asciiTheme="minorHAnsi" w:eastAsiaTheme="minorEastAsia" w:hAnsiTheme="minorHAnsi" w:cstheme="minorBidi"/>
          <w:b w:val="0"/>
          <w:bCs w:val="0"/>
        </w:rPr>
        <w:t xml:space="preserve">, </w:t>
      </w:r>
      <w:r w:rsidR="00641EAF" w:rsidRPr="00641EAF">
        <w:rPr>
          <w:b w:val="0"/>
          <w:bCs w:val="0"/>
          <w:color w:val="000000"/>
          <w:highlight w:val="green"/>
        </w:rPr>
        <w:t>en adelante, la Política de IA</w:t>
      </w:r>
      <w:r w:rsidR="00641EAF">
        <w:rPr>
          <w:b w:val="0"/>
          <w:bCs w:val="0"/>
          <w:color w:val="000000"/>
          <w:highlight w:val="green"/>
        </w:rPr>
        <w:t>.</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w:t>
      </w:r>
      <w:r w:rsidR="00AA0B3B" w:rsidRPr="00AA0B3B">
        <w:rPr>
          <w:b w:val="0"/>
          <w:bCs w:val="0"/>
          <w:color w:val="000000"/>
        </w:rPr>
        <w:t>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Componente generativo:</w:t>
      </w:r>
      <w:r w:rsidRPr="00AA0B3B">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AA0B3B">
        <w:rPr>
          <w:color w:val="000000"/>
          <w:highlight w:val="green"/>
        </w:rPr>
        <w:t>Controles de contención (Guardrails):</w:t>
      </w:r>
      <w:r w:rsidRPr="00AA0B3B">
        <w:rPr>
          <w:b w:val="0"/>
          <w:bCs w:val="0"/>
          <w:color w:val="000000"/>
          <w:highlight w:val="green"/>
        </w:rPr>
        <w:t xml:space="preserve"> </w:t>
      </w:r>
      <w:r w:rsidR="00171767" w:rsidRPr="00AA0B3B">
        <w:rPr>
          <w:b w:val="0"/>
          <w:bCs w:val="0"/>
          <w:color w:val="000000"/>
          <w:highlight w:val="green"/>
        </w:rPr>
        <w:t xml:space="preserve">Conjunto de controles, reglas y mecanismos </w:t>
      </w:r>
      <w:r w:rsidR="00171767" w:rsidRPr="00171767">
        <w:rPr>
          <w:b w:val="0"/>
          <w:bCs w:val="0"/>
          <w:color w:val="000000"/>
          <w:highlight w:val="green"/>
        </w:rPr>
        <w:t xml:space="preserve">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sidRPr="00AA0B3B">
        <w:rPr>
          <w:b w:val="0"/>
          <w:bCs w:val="0"/>
          <w:color w:val="000000"/>
          <w:highlight w:val="yellow"/>
          <w:lang w:val="en-US"/>
        </w:rPr>
        <w:t xml:space="preserve">[D.S. N.° 115-2025-PCM, Art. 30; </w:t>
      </w:r>
      <w:r w:rsidR="00AA0B3B" w:rsidRPr="00AA0B3B">
        <w:rPr>
          <w:b w:val="0"/>
          <w:bCs w:val="0"/>
          <w:color w:val="000000"/>
          <w:highlight w:val="yellow"/>
          <w:lang w:val="en-US"/>
        </w:rPr>
        <w:t>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w:t>
      </w:r>
      <w:r w:rsidR="00AA0B3B">
        <w:rPr>
          <w:b w:val="0"/>
          <w:bCs w:val="0"/>
          <w:color w:val="000000"/>
        </w:rPr>
        <w:t xml:space="preserve"> </w:t>
      </w:r>
      <w:r w:rsidR="00FB7434" w:rsidRPr="00AA0B3B">
        <w:rPr>
          <w:b w:val="0"/>
          <w:bCs w:val="0"/>
          <w:color w:val="000000"/>
          <w:lang w:val="en-US"/>
        </w:rPr>
        <w:t>[D.S. N.° 115-2025-PCM, Art. 7 lit. h);</w:t>
      </w:r>
      <w:r w:rsidRPr="00AA0B3B">
        <w:rPr>
          <w:b w:val="0"/>
          <w:bCs w:val="0"/>
          <w:color w:val="000000"/>
          <w:lang w:val="en-US"/>
        </w:rPr>
        <w:t xml:space="preserve">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w:t>
      </w:r>
      <w:r w:rsidR="00AA0B3B">
        <w:rPr>
          <w:b w:val="0"/>
          <w:bCs w:val="0"/>
          <w:color w:val="000000"/>
        </w:rPr>
        <w:t xml:space="preserve"> </w:t>
      </w:r>
      <w:r w:rsidR="00FB7434">
        <w:rPr>
          <w:b w:val="0"/>
          <w:bCs w:val="0"/>
          <w:color w:val="000000"/>
        </w:rPr>
        <w:t>[D.S. N.° 115-2025-PCM, Art. 7 lit. h);</w:t>
      </w:r>
      <w:r>
        <w:rPr>
          <w:b w:val="0"/>
          <w:bCs w:val="0"/>
          <w:color w:val="000000"/>
        </w:rPr>
        <w:t xml:space="preserve">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sidRPr="00AA0B3B">
        <w:rPr>
          <w:b w:val="0"/>
          <w:bCs w:val="0"/>
          <w:color w:val="000000"/>
          <w:lang w:val="en-US"/>
        </w:rPr>
        <w:t>[Ley N.° 31814, Art. 2; D.S. N.° 115-2025-PCM, Art. 6</w:t>
      </w:r>
      <w:r w:rsidR="00AA0B3B" w:rsidRPr="00AA0B3B">
        <w:rPr>
          <w:b w:val="0"/>
          <w:bCs w:val="0"/>
          <w:color w:val="000000"/>
          <w:lang w:val="en-US"/>
        </w:rPr>
        <w:t xml:space="preserve"> </w:t>
      </w:r>
      <w:r w:rsidR="00AA0B3B">
        <w:rPr>
          <w:b w:val="0"/>
          <w:bCs w:val="0"/>
          <w:color w:val="000000"/>
          <w:lang w:val="en-US"/>
        </w:rPr>
        <w:t>l</w:t>
      </w:r>
      <w:r w:rsidR="00AA0B3B" w:rsidRPr="00AA0B3B">
        <w:rPr>
          <w:b w:val="0"/>
          <w:bCs w:val="0"/>
          <w:color w:val="000000"/>
          <w:lang w:val="en-US"/>
        </w:rPr>
        <w:t>it. j</w:t>
      </w:r>
      <w:r w:rsidRPr="00AA0B3B">
        <w:rPr>
          <w:b w:val="0"/>
          <w:bCs w:val="0"/>
          <w:color w:val="000000"/>
          <w:lang w:val="en-US"/>
        </w:rPr>
        <w:t>]</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sidRPr="001222E1">
        <w:rPr>
          <w:rFonts w:ascii="Arial" w:hAnsi="Arial" w:cs="Arial"/>
          <w:highlight w:val="yellow"/>
        </w:rPr>
        <w:t xml:space="preserve">Política de </w:t>
      </w:r>
      <w:r w:rsidR="001222E1" w:rsidRPr="001222E1">
        <w:rPr>
          <w:rFonts w:ascii="Arial" w:hAnsi="Arial" w:cs="Arial"/>
          <w:highlight w:val="yellow"/>
        </w:rPr>
        <w:t>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r>
      <w:r>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w:t>
      </w:r>
      <w:r w:rsidR="00CA74AD" w:rsidRPr="00CA74AD">
        <w:rPr>
          <w:rFonts w:ascii="Arial" w:eastAsia="Arial" w:hAnsi="Arial" w:cs="Arial"/>
          <w:color w:val="000000"/>
        </w:rPr>
        <w:t>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r>
      <w:r>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sidRPr="00806D68">
        <w:rPr>
          <w:rFonts w:ascii="Arial" w:eastAsia="Arial" w:hAnsi="Arial" w:cs="Arial"/>
          <w:color w:val="000000"/>
          <w:highlight w:val="green"/>
        </w:rPr>
        <w:t>5.3.1</w:t>
      </w:r>
      <w:r w:rsidRPr="00806D68">
        <w:rPr>
          <w:rFonts w:ascii="Arial" w:eastAsia="Arial" w:hAnsi="Arial" w:cs="Arial"/>
          <w:color w:val="000000"/>
          <w:highlight w:val="green"/>
        </w:rPr>
        <w:tab/>
      </w:r>
      <w:r w:rsidR="00806D68" w:rsidRPr="00806D68">
        <w:rPr>
          <w:rFonts w:ascii="Arial" w:eastAsia="Arial" w:hAnsi="Arial" w:cs="Arial"/>
          <w:color w:val="000000"/>
          <w:highlight w:val="green"/>
        </w:rPr>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w:t>
      </w:r>
      <w:r w:rsidRPr="00806D68">
        <w:rPr>
          <w:rFonts w:ascii="Arial" w:eastAsia="Arial" w:hAnsi="Arial" w:cs="Arial"/>
          <w:color w:val="000000"/>
          <w:highlight w:val="green"/>
        </w:rPr>
        <w:t>.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sidR="00951287">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sidRPr="00CA74AD">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 xml:space="preserve">Aprueba la clasificación de riesgo de todos los SBIA conforme al numeral 6.2.2: </w:t>
            </w:r>
            <w:r w:rsidR="00CA74AD" w:rsidRPr="00CA74AD">
              <w:rPr>
                <w:b w:val="0"/>
                <w:bCs w:val="0"/>
                <w:highlight w:val="green"/>
              </w:rPr>
              <w:t>de manera individual en los de riesgo alto y en los estratégicos para la entidad, y de manera agregada en los demás de riesgo aceptable</w:t>
            </w:r>
            <w:r w:rsidRPr="002840F0">
              <w:rPr>
                <w:b w:val="0"/>
                <w:bCs w:val="0"/>
                <w:highlight w:val="green"/>
              </w:rPr>
              <w:t xml:space="preserv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sidRPr="00E51968">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 xml:space="preserve">Revisa la EIA en materia de cumplimiento normativo. </w:t>
            </w:r>
            <w:r w:rsidR="003D4DEA" w:rsidRPr="003D4DEA">
              <w:rPr>
                <w:b w:val="0"/>
                <w:bCs w:val="0"/>
                <w:highlight w:val="green"/>
              </w:rPr>
              <w:t>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w:t>
            </w:r>
            <w:r w:rsidRPr="00171767">
              <w:rPr>
                <w:b w:val="0"/>
                <w:bCs w:val="0"/>
                <w:highlight w:val="green"/>
              </w:rPr>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sidRPr="00951287">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sidRPr="0029383A">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Contribuye a la evaluación del componente de IA con el </w:t>
            </w:r>
            <w:r w:rsidRPr="005B30EE">
              <w:rPr>
                <w:b w:val="0"/>
                <w:bCs w:val="0"/>
                <w:highlight w:val="lightGray"/>
              </w:rPr>
              <w:lastRenderedPageBreak/>
              <w:t xml:space="preserve">conocimiento operativo de los procesos de dicho ámbito y de su impacto en los administrados. Su participación es permanente y no sustituye la del propietario del caso de uso, </w:t>
            </w:r>
            <w:r w:rsidR="00951287" w:rsidRPr="00951287">
              <w:rPr>
                <w:b w:val="0"/>
                <w:bCs w:val="0"/>
                <w:highlight w:val="lightGray"/>
              </w:rPr>
              <w:t>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sidRPr="003D4DEA">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r>
      <w:r w:rsidR="00863A18">
        <w:rPr>
          <w:rFonts w:cs="Arial"/>
          <w:bCs/>
          <w:color w:val="000000"/>
          <w:szCs w:val="22"/>
        </w:rPr>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 xml:space="preserve">competentes emiten conforme a ellos y añade </w:t>
      </w:r>
      <w:r w:rsidR="002711BE" w:rsidRPr="002711BE">
        <w:rPr>
          <w:rFonts w:ascii="Arial" w:eastAsia="Arial" w:hAnsi="Arial" w:cs="Arial"/>
          <w:color w:val="000000"/>
          <w:highlight w:val="green"/>
        </w:rPr>
        <w:lastRenderedPageBreak/>
        <w:t>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r>
            <w:r w:rsidRPr="0045319E">
              <w:rPr>
                <w:rFonts w:ascii="Arial" w:eastAsia="Arial" w:hAnsi="Arial" w:cs="Arial"/>
                <w:highlight w:val="green"/>
              </w:rPr>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lastRenderedPageBreak/>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 xml:space="preserve">Para SBIA de riesgo alto, </w:t>
            </w:r>
            <w:r w:rsidR="00EC21E7" w:rsidRPr="00EC21E7">
              <w:rPr>
                <w:rFonts w:ascii="Arial" w:eastAsia="Arial" w:hAnsi="Arial" w:cs="Arial"/>
                <w:highlight w:val="green"/>
              </w:rPr>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r>
            <w:r w:rsidRPr="00FA4DEA">
              <w:rPr>
                <w:rFonts w:ascii="Arial" w:hAnsi="Arial" w:cs="Arial"/>
                <w:highlight w:val="green"/>
              </w:rPr>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r>
            <w:r>
              <w:rPr>
                <w:rFonts w:ascii="Arial" w:eastAsia="Arial" w:hAnsi="Arial" w:cs="Arial"/>
                <w:highlight w:val="yellow"/>
              </w:rPr>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r>
            <w:r>
              <w:rPr>
                <w:rFonts w:ascii="Arial" w:eastAsia="Arial" w:hAnsi="Arial" w:cs="Arial"/>
                <w:highlight w:val="yellow"/>
              </w:rPr>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sidR="0037497B" w:rsidRPr="0037497B">
        <w:rPr>
          <w:rFonts w:ascii="Arial" w:eastAsia="Arial" w:hAnsi="Arial" w:cs="Arial"/>
          <w:color w:val="000000"/>
          <w:highlight w:val="green"/>
        </w:rPr>
        <w:t>Los SBIA SaaS (enfoque A) siguen un ciclo de vida abreviado, que comprende cuando menos:</w:t>
      </w:r>
      <w:r w:rsidR="0037497B" w:rsidRPr="0037497B">
        <w:rPr>
          <w:rFonts w:ascii="Arial" w:eastAsia="Arial" w:hAnsi="Arial" w:cs="Arial"/>
          <w:color w:val="000000"/>
          <w:highlight w:val="green"/>
        </w:rPr>
        <w:t xml:space="preserve"> </w:t>
      </w:r>
      <w:r w:rsidRPr="0037497B">
        <w:rPr>
          <w:rFonts w:ascii="Arial" w:eastAsia="Arial" w:hAnsi="Arial" w:cs="Arial"/>
          <w:color w:val="000000"/>
          <w:highlight w:val="green"/>
        </w:rPr>
        <w:t>el registro en el Inventario Institucional de SBIA, la clasificación de riesgo conforme al numeral 6.2 y las verificaciones previstas en el numeral 6.12.</w:t>
      </w:r>
      <w:r w:rsidR="0037497B" w:rsidRPr="0037497B">
        <w:t xml:space="preserve"> </w:t>
      </w:r>
      <w:r w:rsidR="0037497B" w:rsidRPr="0037497B">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r>
      <w:r w:rsidR="0094125C" w:rsidRPr="0094125C">
        <w:rPr>
          <w:rFonts w:ascii="Arial" w:hAnsi="Arial" w:cs="Arial"/>
          <w:color w:val="000000"/>
          <w:highlight w:val="green"/>
        </w:rPr>
        <w:lastRenderedPageBreak/>
        <w:t>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sidRPr="00F4172E">
        <w:rPr>
          <w:rFonts w:ascii="Arial" w:eastAsia="Arial" w:hAnsi="Arial" w:cs="Arial"/>
          <w:color w:val="000000"/>
          <w:highlight w:val="green"/>
        </w:rPr>
        <w:t xml:space="preserve">6.1.6 </w:t>
      </w:r>
      <w:r w:rsidRPr="00F4172E">
        <w:rPr>
          <w:rFonts w:ascii="Arial" w:eastAsia="Arial" w:hAnsi="Arial" w:cs="Arial"/>
          <w:color w:val="000000"/>
          <w:highlight w:val="green"/>
        </w:rPr>
        <w:t xml:space="preserve"> </w:t>
      </w:r>
      <w:r w:rsidRPr="00F4172E">
        <w:rPr>
          <w:rFonts w:ascii="Arial" w:eastAsia="Arial" w:hAnsi="Arial" w:cs="Arial"/>
          <w:color w:val="000000"/>
          <w:highlight w:val="green"/>
        </w:rPr>
        <w:t>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w:t>
      </w:r>
      <w:r w:rsidR="00352D87">
        <w:rPr>
          <w:rFonts w:ascii="Arial" w:hAnsi="Arial" w:cs="Arial"/>
          <w:color w:val="000000"/>
          <w:highlight w:val="cyan"/>
        </w:rPr>
        <w:t xml:space="preserve"> </w:t>
      </w:r>
      <w:r w:rsidR="00CA74AD" w:rsidRPr="00CA74AD">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w:t>
      </w:r>
      <w:r w:rsidR="00CA74AD" w:rsidRPr="00CA74AD">
        <w:rPr>
          <w:rFonts w:ascii="Arial" w:eastAsia="Arial" w:hAnsi="Arial" w:cs="Arial"/>
          <w:highlight w:val="green"/>
        </w:rPr>
        <w:t>En tanto el CGTD no apruebe la clasificación agregada, la propuesta de la Comisión de Gobierno de IA habilita la continuación del ciclo de vida, salvo el despliegue, que requiere la clasificación aprobada.</w:t>
      </w:r>
      <w:r w:rsidR="00CA74AD">
        <w:rPr>
          <w:rFonts w:ascii="Arial" w:eastAsia="Arial" w:hAnsi="Arial" w:cs="Arial"/>
          <w:highlight w:val="green"/>
        </w:rPr>
        <w:t xml:space="preserve"> </w:t>
      </w:r>
      <w:r w:rsidR="003758C8" w:rsidRPr="003758C8">
        <w:rPr>
          <w:rFonts w:ascii="Arial" w:eastAsia="Arial" w:hAnsi="Arial" w:cs="Arial"/>
          <w:highlight w:val="green"/>
        </w:rPr>
        <w:t xml:space="preserve">La clasificación es parte de la </w:t>
      </w:r>
      <w:r w:rsidR="003758C8" w:rsidRPr="003758C8">
        <w:rPr>
          <w:rFonts w:ascii="Arial" w:eastAsia="Arial" w:hAnsi="Arial" w:cs="Arial"/>
          <w:highlight w:val="green"/>
        </w:rPr>
        <w:lastRenderedPageBreak/>
        <w:t>evaluación de viabilidad de acuerdo al ciclo de vida descrito en el 6.1.1. La clasificación aplica los criterios de la Matriz de Clasificación de Riesgos</w:t>
      </w:r>
      <w:r w:rsidR="00565AB1">
        <w:rPr>
          <w:rFonts w:ascii="Arial" w:eastAsia="Arial" w:hAnsi="Arial" w:cs="Arial"/>
          <w:highlight w:val="green"/>
        </w:rPr>
        <w:t xml:space="preserve"> de IA</w:t>
      </w:r>
      <w:r w:rsidR="003758C8" w:rsidRPr="003758C8">
        <w:rPr>
          <w:rFonts w:ascii="Arial" w:eastAsia="Arial" w:hAnsi="Arial" w:cs="Arial"/>
          <w:highlight w:val="green"/>
        </w:rPr>
        <w:t xml:space="preserve">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F4172E" w:rsidRPr="00F4172E">
        <w:rPr>
          <w:rFonts w:ascii="Arial" w:hAnsi="Arial" w:cs="Arial"/>
          <w:color w:val="000000"/>
          <w:highlight w:val="green"/>
        </w:rPr>
        <w:t>El propietario del caso de uso elabora la EIA con la participación del equipo técnico multidisciplinario del SBIA previsto en el numeral 6.1.6.</w:t>
      </w:r>
      <w:r w:rsidR="00F4172E">
        <w:rPr>
          <w:rFonts w:ascii="Arial" w:hAnsi="Arial" w:cs="Arial"/>
          <w:color w:val="000000"/>
          <w:highlight w:val="green"/>
        </w:rPr>
        <w:t xml:space="preserve"> </w:t>
      </w:r>
      <w:r w:rsidR="00EC21E7" w:rsidRPr="00EC21E7">
        <w:rPr>
          <w:rFonts w:ascii="Arial" w:hAnsi="Arial" w:cs="Arial"/>
          <w:color w:val="000000"/>
          <w:highlight w:val="green"/>
        </w:rPr>
        <w:t xml:space="preserve">La EIA incorpora los aspectos de negocio (en particular el impacto en el administrado) y los aspectos técnicos. La Comisión de Gobierno de IA, la OII y la INALI la </w:t>
      </w:r>
      <w:r w:rsidR="00EC21E7" w:rsidRPr="00EC21E7">
        <w:rPr>
          <w:rFonts w:ascii="Arial" w:hAnsi="Arial" w:cs="Arial"/>
          <w:color w:val="000000"/>
          <w:highlight w:val="green"/>
        </w:rPr>
        <w:lastRenderedPageBreak/>
        <w:t>revisan.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sidRPr="007F16BF">
        <w:rPr>
          <w:rFonts w:ascii="Arial" w:eastAsia="Arial" w:hAnsi="Arial" w:cs="Arial"/>
          <w:color w:val="000000"/>
          <w:highlight w:val="green"/>
        </w:rPr>
        <w:t>6.4.3</w:t>
      </w:r>
      <w:r w:rsidRPr="007F16BF">
        <w:rPr>
          <w:rFonts w:ascii="Arial" w:eastAsia="Arial" w:hAnsi="Arial" w:cs="Arial"/>
          <w:color w:val="000000"/>
          <w:highlight w:val="green"/>
        </w:rPr>
        <w:tab/>
      </w:r>
      <w:r w:rsidR="007F16BF" w:rsidRPr="007F16BF">
        <w:rPr>
          <w:rFonts w:ascii="Arial" w:eastAsia="Arial" w:hAnsi="Arial" w:cs="Arial"/>
          <w:color w:val="000000"/>
          <w:highlight w:val="green"/>
        </w:rPr>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651CD0" w:rsidRPr="00651CD0">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 xml:space="preserve">Todo SBIA cuenta con la aprobación del diseño de su arquitectura de solución, previa al inicio del desarrollo, la adquisición o el entrenamiento, conforme a la </w:t>
      </w:r>
      <w:r w:rsidR="00553A03" w:rsidRPr="00553A03">
        <w:rPr>
          <w:rFonts w:ascii="Arial" w:eastAsia="Arial" w:hAnsi="Arial" w:cs="Arial"/>
          <w:color w:val="000000"/>
          <w:highlight w:val="green"/>
        </w:rPr>
        <w:lastRenderedPageBreak/>
        <w:t>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 xml:space="preserve">El propietario del caso de uso define el alcance de las acciones autorizadas; </w:t>
      </w:r>
      <w:r w:rsidR="00C10D18" w:rsidRPr="00C10D18">
        <w:rPr>
          <w:rFonts w:ascii="Arial" w:eastAsia="Arial" w:hAnsi="Arial" w:cs="Arial"/>
          <w:color w:val="000000"/>
          <w:highlight w:val="green"/>
        </w:rPr>
        <w:t>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7777777" w:rsidR="003D4DEA" w:rsidRDefault="005C3A70" w:rsidP="005C3A70">
      <w:pPr>
        <w:spacing w:after="60" w:line="276" w:lineRule="auto"/>
        <w:ind w:left="1276" w:hanging="720"/>
        <w:jc w:val="both"/>
        <w:rPr>
          <w:rFonts w:ascii="Arial" w:eastAsia="Arial" w:hAnsi="Arial" w:cs="Arial"/>
          <w:color w:val="000000"/>
        </w:rPr>
      </w:pPr>
      <w:r w:rsidRPr="001E0BE5">
        <w:rPr>
          <w:rFonts w:ascii="Arial" w:eastAsia="Arial" w:hAnsi="Arial" w:cs="Arial"/>
          <w:color w:val="000000"/>
          <w:highlight w:val="green"/>
        </w:rPr>
        <w:t xml:space="preserve">6.5.7   La publicación del código fuente de los SBIA financiados con fondos públicos, </w:t>
      </w:r>
      <w:r w:rsidR="001E0BE5" w:rsidRPr="001E0BE5">
        <w:rPr>
          <w:rFonts w:ascii="Arial" w:eastAsia="Arial" w:hAnsi="Arial" w:cs="Arial"/>
          <w:color w:val="000000"/>
          <w:highlight w:val="green"/>
        </w:rPr>
        <w:t>con licencia libre o abierta en la Plataforma Nacional de Software Público Peruano (PNSSP), prevista en el numeral 28.8 del artículo 28 del RLIA, se sujeta a la determinación previa de su publicabilidad.</w:t>
      </w:r>
      <w:r w:rsidR="001E0BE5">
        <w:rPr>
          <w:rFonts w:ascii="Arial" w:eastAsia="Arial" w:hAnsi="Arial" w:cs="Arial"/>
          <w:color w:val="000000"/>
        </w:rPr>
        <w:t xml:space="preserve"> </w:t>
      </w:r>
      <w:r w:rsidRPr="005C3A70">
        <w:rPr>
          <w:rFonts w:ascii="Arial" w:eastAsia="Arial" w:hAnsi="Arial" w:cs="Arial"/>
          <w:color w:val="000000"/>
          <w:highlight w:val="lightGray"/>
        </w:rPr>
        <w:t xml:space="preserve">Dicha determinación verifica que el código no revele información sujeta a reserva tributaria conforme al artículo 85 del TUO del Código Tributario, ni reglas de detección de riesgo cuya divulgación comprometa la función de control. </w:t>
      </w:r>
      <w:r w:rsidR="001E0BE5" w:rsidRPr="001E0BE5">
        <w:rPr>
          <w:rFonts w:ascii="Arial" w:eastAsia="Arial" w:hAnsi="Arial" w:cs="Arial"/>
          <w:color w:val="000000"/>
          <w:highlight w:val="green"/>
        </w:rPr>
        <w:t>La GA, con opinión de la INALI y de la Oficina de Seguridad Informática, determina la publicabilidad antes de cada liberación mayor y, en todo caso, con ocasión de la revisión integral anual del Inventario Institucional de SBIA prevista en el numeral 6.3.2; la GDS ejecuta la publicación cuando corresponda. La determinación y su resultado constan en la Ficha de Registro de SBIA (Anexo N.° 1) y, cuando el código no resulte publicable, se consigna igualmente la justificación legal de la restricción.</w:t>
      </w:r>
      <w:r w:rsidR="001E0BE5" w:rsidRPr="001E0BE5">
        <w:rPr>
          <w:rFonts w:ascii="Arial" w:eastAsia="Arial" w:hAnsi="Arial" w:cs="Arial"/>
          <w:color w:val="000000"/>
          <w:highlight w:val="green"/>
        </w:rPr>
        <w:t xml:space="preserve"> </w:t>
      </w:r>
      <w:r w:rsidR="003D4DEA" w:rsidRPr="003D4DEA">
        <w:rPr>
          <w:rFonts w:ascii="Arial" w:eastAsia="Arial" w:hAnsi="Arial" w:cs="Arial"/>
          <w:color w:val="000000"/>
          <w:highlight w:val="green"/>
        </w:rPr>
        <w:t xml:space="preserve">Cuando la determinación comprenda el sentido y el alcance de las normas tributarias o aduaneras, la GA solicita la opinión de la Intendencia </w:t>
      </w:r>
      <w:r w:rsidR="003D4DEA" w:rsidRPr="003D4DEA">
        <w:rPr>
          <w:rFonts w:ascii="Arial" w:eastAsia="Arial" w:hAnsi="Arial" w:cs="Arial"/>
          <w:color w:val="000000"/>
          <w:highlight w:val="green"/>
        </w:rPr>
        <w:lastRenderedPageBreak/>
        <w:t>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lastRenderedPageBreak/>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sidRPr="001222E1">
        <w:rPr>
          <w:rFonts w:ascii="Arial" w:hAnsi="Arial" w:cs="Arial"/>
          <w:highlight w:val="green"/>
        </w:rPr>
        <w:t xml:space="preserve">Política </w:t>
      </w:r>
      <w:r w:rsidR="001222E1" w:rsidRPr="001222E1">
        <w:rPr>
          <w:rFonts w:ascii="Arial" w:hAnsi="Arial" w:cs="Arial"/>
          <w:highlight w:val="green"/>
        </w:rPr>
        <w:t>de IA</w:t>
      </w:r>
      <w:r w:rsidRPr="001222E1">
        <w:rPr>
          <w:rFonts w:ascii="Arial" w:eastAsia="Arial" w:hAnsi="Arial" w:cs="Arial"/>
          <w:color w:val="000000"/>
          <w:highlight w:val="green"/>
        </w:rPr>
        <w:t>.</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 xml:space="preserve">Para los SBIA de riesgo alto y para los SBIA de riesgo aceptable que interactúen directamente con el administrado, incorporen componentes generativos o procesen datos personales o información sujeta a reserva tributaria, </w:t>
      </w:r>
      <w:r w:rsidR="002D1BB4" w:rsidRPr="002D1BB4">
        <w:rPr>
          <w:rFonts w:ascii="Arial" w:eastAsia="Arial" w:hAnsi="Arial" w:cs="Arial"/>
          <w:color w:val="000000"/>
          <w:highlight w:val="green"/>
        </w:rPr>
        <w:t>el custodio técnico implementa como mínimo:</w:t>
      </w:r>
      <w:r w:rsidR="002D1BB4">
        <w:rPr>
          <w:rFonts w:ascii="Arial" w:eastAsia="Arial" w:hAnsi="Arial" w:cs="Arial"/>
          <w:color w:val="000000"/>
          <w:highlight w:val="green"/>
        </w:rPr>
        <w:t xml:space="preserve">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w:t>
      </w:r>
      <w:r w:rsidR="002D1BB4" w:rsidRPr="002D1BB4">
        <w:rPr>
          <w:rFonts w:ascii="Arial" w:eastAsia="Arial" w:hAnsi="Arial" w:cs="Arial"/>
          <w:color w:val="000000"/>
          <w:highlight w:val="yellow"/>
        </w:rPr>
        <w:t>evaluación de vulnerabilidades conforme al OWASP Top 10 para aplicaciones LLM, en la versión que determine el documento normativo del numeral 6.7.7</w:t>
      </w:r>
      <w:r>
        <w:rPr>
          <w:rFonts w:ascii="Arial" w:eastAsia="Arial" w:hAnsi="Arial" w:cs="Arial"/>
          <w:color w:val="000000"/>
          <w:highlight w:val="yellow"/>
        </w:rPr>
        <w:t>;</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rsidR="002D1BB4" w:rsidRPr="002D1BB4">
        <w:t xml:space="preserve"> </w:t>
      </w:r>
      <w:r w:rsidR="002D1BB4" w:rsidRPr="002D1BB4">
        <w:rPr>
          <w:rFonts w:ascii="Arial" w:eastAsia="Arial" w:hAnsi="Arial" w:cs="Arial"/>
          <w:color w:val="000000"/>
          <w:highlight w:val="green"/>
        </w:rPr>
        <w:t>Su implementación se verifica en el hito de aprobación previo al despliegue, conforme al numeral 6.2.5, y se registra en la Ficha de Registro de SBIA (Anexo N.° 1).</w:t>
      </w:r>
      <w:r w:rsidRPr="002D1BB4">
        <w:rPr>
          <w:rFonts w:ascii="Arial" w:eastAsia="Arial" w:hAnsi="Arial" w:cs="Arial"/>
          <w:color w:val="000000"/>
          <w:highlight w:val="green"/>
        </w:rPr>
        <w:t xml:space="preserve"> </w:t>
      </w:r>
      <w:r>
        <w:rPr>
          <w:rFonts w:ascii="Arial" w:eastAsia="Arial" w:hAnsi="Arial" w:cs="Arial"/>
          <w:color w:val="000000"/>
          <w:highlight w:val="yellow"/>
        </w:rPr>
        <w:t xml:space="preserve">Estos controles constituyen medidas de seguridad </w:t>
      </w:r>
      <w:r>
        <w:rPr>
          <w:rFonts w:ascii="Arial" w:eastAsia="Arial" w:hAnsi="Arial" w:cs="Arial"/>
          <w:color w:val="000000"/>
          <w:highlight w:val="yellow"/>
        </w:rPr>
        <w:lastRenderedPageBreak/>
        <w:t>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w:t>
      </w:r>
      <w:r w:rsidR="00806D68" w:rsidRPr="00806D68">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rsidR="005C21BA" w:rsidRPr="005C21BA">
        <w:t xml:space="preserve"> </w:t>
      </w:r>
      <w:r w:rsidR="005C21BA" w:rsidRPr="005C21BA">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numeral 6.7.2 y la periodicidad de las pruebas de 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sidRPr="00EC79A5">
        <w:rPr>
          <w:rFonts w:ascii="Arial" w:eastAsia="Arial" w:hAnsi="Arial" w:cs="Arial"/>
          <w:color w:val="000000"/>
          <w:highlight w:val="green"/>
        </w:rPr>
        <w:t>6.8.3</w:t>
      </w:r>
      <w:r w:rsidRPr="00EC79A5">
        <w:rPr>
          <w:rFonts w:ascii="Arial" w:eastAsia="Arial" w:hAnsi="Arial" w:cs="Arial"/>
          <w:color w:val="000000"/>
          <w:highlight w:val="green"/>
        </w:rPr>
        <w:tab/>
      </w:r>
      <w:r w:rsidR="00EC79A5" w:rsidRPr="00EC79A5">
        <w:rPr>
          <w:rFonts w:ascii="Arial" w:eastAsia="Arial" w:hAnsi="Arial" w:cs="Arial"/>
          <w:color w:val="000000"/>
          <w:highlight w:val="green"/>
        </w:rPr>
        <w:t xml:space="preserve">El uso de datos protegidos por la reserva tributaria para el desarrollo, entrenamiento o validación de un SBIA requiere la determinación previa de su base legal, conforme al artículo 85 del TUO del Código Tributario. La </w:t>
      </w:r>
      <w:r w:rsidR="00EC79A5" w:rsidRPr="00EC79A5">
        <w:rPr>
          <w:rFonts w:ascii="Arial" w:eastAsia="Arial" w:hAnsi="Arial" w:cs="Arial"/>
          <w:color w:val="000000"/>
          <w:highlight w:val="green"/>
        </w:rPr>
        <w:lastRenderedPageBreak/>
        <w:t>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w:t>
      </w:r>
      <w:r w:rsidR="002D1BB4">
        <w:rPr>
          <w:rFonts w:ascii="Arial" w:eastAsia="Arial" w:hAnsi="Arial" w:cs="Arial"/>
          <w:color w:val="000000"/>
          <w:highlight w:val="green"/>
        </w:rPr>
        <w:t>RLIA</w:t>
      </w:r>
      <w:r w:rsidR="00E207DD" w:rsidRPr="00E207DD">
        <w:rPr>
          <w:rFonts w:ascii="Arial" w:eastAsia="Arial" w:hAnsi="Arial" w:cs="Arial"/>
          <w:color w:val="000000"/>
          <w:highlight w:val="green"/>
        </w:rPr>
        <w:t>. La 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sidRPr="00641EAF">
        <w:rPr>
          <w:rFonts w:ascii="Arial" w:eastAsia="Arial" w:hAnsi="Arial" w:cs="Arial"/>
          <w:color w:val="000000"/>
          <w:highlight w:val="green"/>
        </w:rPr>
        <w:t xml:space="preserve">6.8.6   </w:t>
      </w:r>
      <w:r w:rsidR="00641EAF" w:rsidRPr="00641EAF">
        <w:rPr>
          <w:rFonts w:ascii="Arial" w:eastAsia="Arial" w:hAnsi="Arial" w:cs="Arial"/>
          <w:color w:val="000000"/>
          <w:highlight w:val="green"/>
        </w:rPr>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 xml:space="preserve">El alcance de la transparencia algorítmica es el definido en el glosario de la presente directiva. La atención de las solicitudes de acceso </w:t>
      </w:r>
      <w:r w:rsidR="00E151B6" w:rsidRPr="00E151B6">
        <w:rPr>
          <w:rFonts w:ascii="Arial" w:eastAsia="Arial" w:hAnsi="Arial" w:cs="Arial"/>
          <w:color w:val="000000"/>
          <w:highlight w:val="green"/>
        </w:rPr>
        <w:lastRenderedPageBreak/>
        <w:t>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 xml:space="preserve">El estado del gobierno de IA institucional se informa como sección del informe de seguimiento del Plan de Gobierno Digital que presenta el CGTD, </w:t>
      </w:r>
      <w:r w:rsidR="00C462BD" w:rsidRPr="00C462BD">
        <w:rPr>
          <w:rFonts w:ascii="Arial" w:eastAsia="Arial" w:hAnsi="Arial" w:cs="Arial"/>
          <w:color w:val="000000"/>
          <w:highlight w:val="green"/>
        </w:rPr>
        <w:t>con la periodicidad y por el conducto que dicho instrumento establece, conforme al numeral 28.10 del artículo 28 del RLIA</w:t>
      </w:r>
      <w:r w:rsidR="00485890" w:rsidRPr="00485890">
        <w:rPr>
          <w:rFonts w:ascii="Arial" w:eastAsia="Arial" w:hAnsi="Arial" w:cs="Arial"/>
          <w:color w:val="000000"/>
          <w:highlight w:val="green"/>
        </w:rPr>
        <w:t>.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lastRenderedPageBreak/>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w:t>
      </w:r>
      <w:r w:rsidR="0034493F" w:rsidRPr="0034493F">
        <w:rPr>
          <w:rFonts w:ascii="Arial" w:eastAsia="Arial" w:hAnsi="Arial" w:cs="Arial"/>
          <w:color w:val="000000"/>
          <w:highlight w:val="green"/>
        </w:rPr>
        <w:t>La frecuencia determinada, los indicadores aplicables conforme al numeral 6.10.2, sus umbrales y los responsables de la medición constan en el plan de monitoreo del SBIA, que la Comisión de Gobierno de IA aprueba con anterioridad a su puesta en producción</w:t>
      </w:r>
      <w:r w:rsidR="00975D3B" w:rsidRPr="00975D3B">
        <w:rPr>
          <w:rFonts w:ascii="Arial" w:eastAsia="Arial" w:hAnsi="Arial" w:cs="Arial"/>
          <w:color w:val="000000"/>
          <w:highlight w:val="green"/>
        </w:rPr>
        <w:t>.</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w:t>
      </w:r>
      <w:r w:rsidRPr="0034493F">
        <w:rPr>
          <w:rFonts w:ascii="Arial" w:eastAsia="Arial" w:hAnsi="Arial" w:cs="Arial"/>
          <w:color w:val="000000"/>
          <w:highlight w:val="green"/>
        </w:rPr>
        <w:t xml:space="preserve">humana. </w:t>
      </w:r>
      <w:r w:rsidR="0034493F" w:rsidRPr="0034493F">
        <w:rPr>
          <w:rFonts w:ascii="Arial" w:eastAsia="Arial" w:hAnsi="Arial" w:cs="Arial"/>
          <w:color w:val="000000"/>
          <w:highlight w:val="green"/>
        </w:rPr>
        <w:t>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sidR="0034493F">
        <w:rPr>
          <w:rFonts w:ascii="Arial" w:eastAsia="Arial" w:hAnsi="Arial" w:cs="Arial"/>
          <w:color w:val="000000"/>
        </w:rPr>
        <w:t xml:space="preserve"> </w:t>
      </w:r>
      <w:r w:rsidRPr="003173B4">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 xml:space="preserve">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w:t>
      </w:r>
      <w:r>
        <w:rPr>
          <w:rFonts w:ascii="Arial" w:eastAsia="Arial" w:hAnsi="Arial" w:cs="Arial"/>
          <w:color w:val="000000"/>
          <w:highlight w:val="yellow"/>
        </w:rPr>
        <w:lastRenderedPageBreak/>
        <w:t>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w:t>
      </w:r>
      <w:r w:rsidRPr="007F16BF">
        <w:rPr>
          <w:rFonts w:ascii="Arial" w:hAnsi="Arial" w:cs="Arial"/>
          <w:highlight w:val="green"/>
        </w:rPr>
        <w:t xml:space="preserve">5 </w:t>
      </w:r>
      <w:r w:rsidR="007F16BF" w:rsidRPr="007F16BF">
        <w:rPr>
          <w:rFonts w:ascii="Arial" w:hAnsi="Arial" w:cs="Arial"/>
          <w:highlight w:val="green"/>
        </w:rPr>
        <w:t>Es significativo el cambio que altera el desempeño, la finalidad, la población objetivo, las fuentes o la estructura de los datos de entrada, o el contexto de aplicación del SBIA.</w:t>
      </w:r>
      <w:r w:rsidR="007F16BF" w:rsidRPr="007F16BF">
        <w:rPr>
          <w:rFonts w:ascii="Arial" w:hAnsi="Arial" w:cs="Arial"/>
          <w:highlight w:val="green"/>
        </w:rPr>
        <w:t xml:space="preserve"> </w:t>
      </w:r>
      <w:r w:rsidRPr="007F16BF">
        <w:rPr>
          <w:rFonts w:ascii="Arial" w:hAnsi="Arial" w:cs="Arial"/>
          <w:highlight w:val="green"/>
        </w:rPr>
        <w:t xml:space="preserve">El </w:t>
      </w:r>
      <w:r w:rsidRPr="00532CB5">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sidRPr="007C33C4">
        <w:rPr>
          <w:rFonts w:ascii="Arial" w:hAnsi="Arial" w:cs="Arial"/>
          <w:highlight w:val="green"/>
        </w:rPr>
        <w:t xml:space="preserve">6.10.6 </w:t>
      </w:r>
      <w:r w:rsidR="007C33C4" w:rsidRPr="007C33C4">
        <w:rPr>
          <w:rFonts w:ascii="Arial" w:hAnsi="Arial" w:cs="Arial"/>
          <w:highlight w:val="green"/>
        </w:rPr>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w:t>
      </w:r>
      <w:r w:rsidR="007C33C4" w:rsidRPr="007C33C4">
        <w:rPr>
          <w:rFonts w:ascii="Arial" w:hAnsi="Arial" w:cs="Arial"/>
          <w:highlight w:val="green"/>
        </w:rPr>
        <w:t xml:space="preserve"> </w:t>
      </w:r>
      <w:r w:rsidRPr="007C33C4">
        <w:rPr>
          <w:rFonts w:ascii="Arial" w:hAnsi="Arial" w:cs="Arial"/>
          <w:highlight w:val="green"/>
        </w:rPr>
        <w:t xml:space="preserve">la </w:t>
      </w:r>
      <w:r w:rsidRPr="00975D3B">
        <w:rPr>
          <w:rFonts w:ascii="Arial" w:hAnsi="Arial" w:cs="Arial"/>
          <w:highlight w:val="green"/>
        </w:rPr>
        <w:t xml:space="preserve">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w:t>
      </w:r>
      <w:r w:rsidR="00D02E5D" w:rsidRPr="00D02E5D">
        <w:rPr>
          <w:rFonts w:ascii="Arial" w:hAnsi="Arial" w:cs="Arial"/>
          <w:highlight w:val="green"/>
        </w:rPr>
        <w:t xml:space="preserve">Los efectos del uso irregular sobre el funcionamiento del SBIA se tratan conforme </w:t>
      </w:r>
      <w:r w:rsidR="00D02E5D" w:rsidRPr="00D02E5D">
        <w:rPr>
          <w:rFonts w:ascii="Arial" w:hAnsi="Arial" w:cs="Arial"/>
          <w:highlight w:val="green"/>
        </w:rPr>
        <w:lastRenderedPageBreak/>
        <w:t>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lastRenderedPageBreak/>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 xml:space="preserve">las herramientas de IA que figuran en dicho catálogo. </w:t>
      </w:r>
      <w:r w:rsidR="00D02E5D" w:rsidRPr="00D02E5D">
        <w:rPr>
          <w:rFonts w:ascii="Arial" w:eastAsia="Arial" w:hAnsi="Arial" w:cs="Arial"/>
          <w:color w:val="000000"/>
          <w:highlight w:val="green"/>
        </w:rPr>
        <w:t>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y 6.2.3.</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w:t>
      </w:r>
      <w:r w:rsidR="0029383A">
        <w:rPr>
          <w:rFonts w:ascii="Arial" w:hAnsi="Arial" w:cs="Arial"/>
          <w:color w:val="000000"/>
          <w:highlight w:val="cyan"/>
        </w:rPr>
        <w:t>SBIA</w:t>
      </w:r>
      <w:r>
        <w:rPr>
          <w:rFonts w:ascii="Arial" w:hAnsi="Arial" w:cs="Arial"/>
          <w:color w:val="000000"/>
          <w:highlight w:val="cyan"/>
        </w:rPr>
        <w:t xml:space="preserve">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sidRPr="008133DB">
        <w:rPr>
          <w:rFonts w:ascii="Arial" w:eastAsia="Arial" w:hAnsi="Arial" w:cs="Arial"/>
          <w:color w:val="000000"/>
          <w:highlight w:val="green"/>
        </w:rPr>
        <w:t>6.12.1</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w:t>
      </w:r>
      <w:r w:rsidRPr="008133DB">
        <w:rPr>
          <w:rFonts w:ascii="Arial" w:eastAsia="Arial" w:hAnsi="Arial" w:cs="Arial"/>
          <w:color w:val="000000"/>
          <w:highlight w:val="green"/>
        </w:rPr>
        <w:t>.2</w:t>
      </w:r>
      <w:r w:rsidRPr="008133DB">
        <w:rPr>
          <w:rFonts w:ascii="Arial" w:eastAsia="Arial" w:hAnsi="Arial" w:cs="Arial"/>
          <w:color w:val="000000"/>
          <w:highlight w:val="green"/>
        </w:rPr>
        <w:tab/>
      </w:r>
      <w:r w:rsidR="008133DB" w:rsidRPr="008133DB">
        <w:rPr>
          <w:rFonts w:ascii="Arial" w:eastAsia="Arial" w:hAnsi="Arial" w:cs="Arial"/>
          <w:color w:val="000000"/>
          <w:highlight w:val="green"/>
        </w:rPr>
        <w:t>La unidad de organización que formula los términos de referencia o las especificaciones técnicas incorpora en ellos las cláusulas que el contrato debe contener sobre:</w:t>
      </w:r>
      <w:r w:rsidRPr="008133DB">
        <w:rPr>
          <w:rFonts w:ascii="Arial" w:eastAsia="Arial" w:hAnsi="Arial" w:cs="Arial"/>
          <w:color w:val="000000"/>
          <w:highlight w:val="green"/>
        </w:rPr>
        <w:t xml:space="preserve"> </w:t>
      </w:r>
      <w:r w:rsidRPr="003173B4">
        <w:rPr>
          <w:rFonts w:ascii="Arial" w:eastAsia="Arial" w:hAnsi="Arial" w:cs="Arial"/>
          <w:color w:val="000000"/>
          <w:highlight w:val="green"/>
        </w:rPr>
        <w:t xml:space="preserve">(a) protección de datos y reserva tributaria; (b) transparencia del modelo; (c) comunicación de vulnerabilidades e incidentes; (d) derecho de </w:t>
      </w:r>
      <w:r w:rsidRPr="003173B4">
        <w:rPr>
          <w:rFonts w:ascii="Arial" w:eastAsia="Arial" w:hAnsi="Arial" w:cs="Arial"/>
          <w:color w:val="000000"/>
          <w:highlight w:val="green"/>
        </w:rPr>
        <w:lastRenderedPageBreak/>
        <w:t xml:space="preserve">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6.12.3</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sidRPr="00000718">
        <w:rPr>
          <w:rFonts w:ascii="Arial" w:eastAsia="Arial" w:hAnsi="Arial" w:cs="Arial"/>
          <w:color w:val="000000"/>
          <w:highlight w:val="green"/>
        </w:rPr>
        <w:t>6.12.4</w:t>
      </w:r>
      <w:r w:rsidRPr="00000718">
        <w:rPr>
          <w:rFonts w:ascii="Arial" w:eastAsia="Arial" w:hAnsi="Arial" w:cs="Arial"/>
          <w:color w:val="000000"/>
          <w:highlight w:val="green"/>
        </w:rPr>
        <w:tab/>
      </w:r>
      <w:r w:rsidR="00000718" w:rsidRPr="00000718">
        <w:rPr>
          <w:rFonts w:ascii="Arial" w:eastAsia="Arial" w:hAnsi="Arial" w:cs="Arial"/>
          <w:color w:val="000000"/>
          <w:highlight w:val="green"/>
        </w:rPr>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sidRPr="00641EAF">
        <w:rPr>
          <w:highlight w:val="green"/>
        </w:rPr>
        <w:t>6.13</w:t>
      </w:r>
      <w:r w:rsidRPr="00641EAF">
        <w:rPr>
          <w:highlight w:val="green"/>
        </w:rPr>
        <w:tab/>
      </w:r>
      <w:r w:rsidR="00641EAF" w:rsidRPr="00641EAF">
        <w:rPr>
          <w:highlight w:val="green"/>
        </w:rPr>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 xml:space="preserve">Todo el personal de la SUNAT vinculado al diseño, desarrollo, implementación, evaluación o uso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es sensibilizado respecto del uso seguro, responsable y ético de dichos sistemas, así como de los riesgos asociados y de las disposiciones establecidas en la </w:t>
      </w:r>
      <w:r w:rsidR="00641EAF" w:rsidRPr="00641EAF">
        <w:rPr>
          <w:rFonts w:ascii="Arial" w:eastAsia="Arial" w:hAnsi="Arial" w:cs="Arial"/>
          <w:color w:val="000000"/>
          <w:highlight w:val="lightGray"/>
        </w:rPr>
        <w:t>Política de IA</w:t>
      </w:r>
      <w:r w:rsidR="00641EAF">
        <w:rPr>
          <w:rFonts w:ascii="Arial" w:eastAsia="Arial" w:hAnsi="Arial" w:cs="Arial"/>
          <w:color w:val="000000"/>
          <w:highlight w:val="lightGray"/>
        </w:rPr>
        <w:t>.</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La finalidad y los principios institucionales aplicables a los </w:t>
      </w:r>
      <w:r w:rsidR="0029383A">
        <w:rPr>
          <w:b w:val="0"/>
          <w:bCs w:val="0"/>
          <w:color w:val="000000"/>
          <w:highlight w:val="lightGray"/>
        </w:rPr>
        <w:t>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lastRenderedPageBreak/>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 xml:space="preserve">El impacto social y ambiental de los </w:t>
      </w:r>
      <w:r w:rsidR="0029383A">
        <w:rPr>
          <w:b w:val="0"/>
          <w:bCs w:val="0"/>
          <w:color w:val="000000"/>
          <w:highlight w:val="lightGray"/>
        </w:rPr>
        <w:t>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 xml:space="preserve">establecido en el literal f) del artículo 7 del </w:t>
      </w:r>
      <w:r w:rsidR="002D1BB4">
        <w:rPr>
          <w:rFonts w:ascii="Arial" w:eastAsia="Arial" w:hAnsi="Arial" w:cs="Arial"/>
          <w:color w:val="000000"/>
          <w:highlight w:val="green"/>
        </w:rPr>
        <w:t>RLIA</w:t>
      </w:r>
      <w:r w:rsidRPr="00A402D8">
        <w:rPr>
          <w:rFonts w:ascii="Arial" w:eastAsia="Arial" w:hAnsi="Arial" w:cs="Arial"/>
          <w:color w:val="000000"/>
          <w:highlight w:val="green"/>
        </w:rPr>
        <w:t>,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w:t>
      </w:r>
      <w:r w:rsidR="0029383A">
        <w:rPr>
          <w:rFonts w:ascii="Arial" w:eastAsia="Arial" w:hAnsi="Arial" w:cs="Arial"/>
          <w:color w:val="000000"/>
          <w:highlight w:val="lightGray"/>
        </w:rPr>
        <w:t>SBIA</w:t>
      </w:r>
      <w:r w:rsidRPr="00833CDE">
        <w:rPr>
          <w:rFonts w:ascii="Arial" w:eastAsia="Arial" w:hAnsi="Arial" w:cs="Arial"/>
          <w:color w:val="000000"/>
          <w:highlight w:val="lightGray"/>
        </w:rPr>
        <w:t xml:space="preserve">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 xml:space="preserve">Los fundamentos y el ciclo de vida de los </w:t>
      </w:r>
      <w:r w:rsidR="0029383A">
        <w:rPr>
          <w:b w:val="0"/>
          <w:bCs w:val="0"/>
          <w:color w:val="000000"/>
          <w:highlight w:val="lightGray"/>
        </w:rPr>
        <w:t>SBIA</w:t>
      </w:r>
      <w:r w:rsidRPr="00833CDE">
        <w:rPr>
          <w:b w:val="0"/>
          <w:bCs w:val="0"/>
          <w:color w:val="000000"/>
          <w:highlight w:val="lightGray"/>
        </w:rPr>
        <w:t>.</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Esta disposición se implementa conforme al numeral 28.5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 xml:space="preserve">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Las acciones de gestión del cambio facilitan la consolidación </w:t>
      </w:r>
      <w:r w:rsidR="00641EAF">
        <w:rPr>
          <w:rFonts w:ascii="Arial" w:eastAsia="Arial" w:hAnsi="Arial" w:cs="Arial"/>
          <w:color w:val="000000"/>
          <w:highlight w:val="lightGray"/>
        </w:rPr>
        <w:t xml:space="preserve">de </w:t>
      </w:r>
      <w:r w:rsidR="00641EAF" w:rsidRPr="00641EAF">
        <w:rPr>
          <w:rFonts w:ascii="Arial" w:eastAsia="Arial" w:hAnsi="Arial" w:cs="Arial"/>
          <w:color w:val="000000"/>
          <w:highlight w:val="lightGray"/>
        </w:rPr>
        <w:t>la Política de IA y del sistema de gestión de IA</w:t>
      </w:r>
      <w:r w:rsidRPr="00833CDE">
        <w:rPr>
          <w:rFonts w:ascii="Arial" w:eastAsia="Arial" w:hAnsi="Arial" w:cs="Arial"/>
          <w:color w:val="000000"/>
          <w:highlight w:val="lightGray"/>
        </w:rPr>
        <w:t xml:space="preserve">, promoviendo su integración en la gestión institucional y favoreciendo las condiciones organizacionales necesarias para su sostenibilidad y mejora continua, en concordancia con los numerales 28.1 y 28.2 del artículo 28 del </w:t>
      </w:r>
      <w:r w:rsidR="002D1BB4">
        <w:rPr>
          <w:rFonts w:ascii="Arial" w:eastAsia="Arial" w:hAnsi="Arial" w:cs="Arial"/>
          <w:color w:val="000000"/>
          <w:highlight w:val="lightGray"/>
        </w:rPr>
        <w:t>RLIA</w:t>
      </w:r>
      <w:r w:rsidRPr="00833CDE">
        <w:rPr>
          <w:rFonts w:ascii="Arial" w:eastAsia="Arial" w:hAnsi="Arial" w:cs="Arial"/>
          <w:color w:val="000000"/>
          <w:highlight w:val="lightGray"/>
        </w:rPr>
        <w:t>.</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r>
      <w:r>
        <w:rPr>
          <w:rFonts w:ascii="Arial" w:eastAsia="Arial" w:hAnsi="Arial" w:cs="Arial"/>
          <w:color w:val="000000"/>
          <w:highlight w:val="yellow"/>
        </w:rPr>
        <w:tab/>
        <w:t xml:space="preserve">En el desarrollo, la implementación y el uso de los SBIA, </w:t>
      </w:r>
      <w:r w:rsidR="00951287" w:rsidRPr="00951287">
        <w:rPr>
          <w:rFonts w:ascii="Arial" w:eastAsia="Arial" w:hAnsi="Arial" w:cs="Arial"/>
          <w:color w:val="000000"/>
          <w:highlight w:val="yellow"/>
        </w:rPr>
        <w:t>la SUNAT promueve la participación de equipos diversos y multidisciplinarios, conforme al numeral 6.1.6</w:t>
      </w:r>
      <w:r>
        <w:rPr>
          <w:rFonts w:ascii="Arial" w:eastAsia="Arial" w:hAnsi="Arial" w:cs="Arial"/>
          <w:color w:val="000000"/>
          <w:highlight w:val="yellow"/>
        </w:rPr>
        <w:t>,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00F0156C" w:rsidRPr="00F0156C">
        <w:rPr>
          <w:rFonts w:ascii="Arial" w:eastAsia="Arial" w:hAnsi="Arial" w:cs="Arial"/>
          <w:color w:val="000000"/>
          <w:highlight w:val="green"/>
        </w:rPr>
        <w:t>, conforme al numeral 28.9 del artículo 28 del RLIA</w:t>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 xml:space="preserve">La OII supervisa en los SBIA el cumplimiento de los principios rectores establecidos en el artículo 7 del </w:t>
      </w:r>
      <w:r w:rsidR="002D1BB4">
        <w:rPr>
          <w:rFonts w:ascii="Arial" w:eastAsia="Arial" w:hAnsi="Arial" w:cs="Arial"/>
          <w:color w:val="000000"/>
          <w:highlight w:val="green"/>
        </w:rPr>
        <w:t>RLIA</w:t>
      </w:r>
      <w:r w:rsidR="002555BF" w:rsidRPr="002555BF">
        <w:rPr>
          <w:rFonts w:ascii="Arial" w:eastAsia="Arial" w:hAnsi="Arial" w:cs="Arial"/>
          <w:color w:val="000000"/>
          <w:highlight w:val="green"/>
        </w:rPr>
        <w:t xml:space="preserve"> y de los compromisos de la Política de </w:t>
      </w:r>
      <w:r w:rsidR="001222E1">
        <w:rPr>
          <w:rFonts w:ascii="Arial" w:eastAsia="Arial" w:hAnsi="Arial" w:cs="Arial"/>
          <w:color w:val="000000"/>
          <w:highlight w:val="green"/>
        </w:rPr>
        <w:t>IA</w:t>
      </w:r>
      <w:r w:rsidR="002555BF" w:rsidRPr="002555BF">
        <w:rPr>
          <w:rFonts w:ascii="Arial" w:eastAsia="Arial" w:hAnsi="Arial" w:cs="Arial"/>
          <w:color w:val="000000"/>
          <w:highlight w:val="green"/>
        </w:rPr>
        <w: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 xml:space="preserve">Esta disposición desarrolla el numeral 28.9 del artículo 28 del </w:t>
      </w:r>
      <w:r w:rsidR="002D1BB4">
        <w:rPr>
          <w:rFonts w:ascii="Arial" w:eastAsia="Arial" w:hAnsi="Arial" w:cs="Arial"/>
          <w:color w:val="000000"/>
          <w:highlight w:val="green"/>
        </w:rPr>
        <w:t>RLIA</w:t>
      </w:r>
      <w:r w:rsidR="000E3950" w:rsidRPr="000E3950">
        <w:rPr>
          <w:rFonts w:ascii="Arial" w:eastAsia="Arial" w:hAnsi="Arial" w:cs="Arial"/>
          <w:color w:val="000000"/>
          <w:highlight w:val="green"/>
        </w:rPr>
        <w:t>.</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xml:space="preserve">. La opinión no comprende la generación de valor, el costo, la </w:t>
      </w:r>
      <w:r w:rsidR="006D44AB" w:rsidRPr="006D44AB">
        <w:rPr>
          <w:rFonts w:ascii="Arial" w:hAnsi="Arial" w:cs="Arial"/>
          <w:highlight w:val="green"/>
        </w:rPr>
        <w:lastRenderedPageBreak/>
        <w:t>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 xml:space="preserve">No favorable, cuando el uso es indebido conforme al artículo 23 del RLIA, contraviene la Política de </w:t>
      </w:r>
      <w:r w:rsidR="001222E1">
        <w:rPr>
          <w:b w:val="0"/>
          <w:bCs w:val="0"/>
          <w:highlight w:val="green"/>
        </w:rPr>
        <w:t>IA</w:t>
      </w:r>
      <w:r w:rsidRPr="006D44AB">
        <w:rPr>
          <w:b w:val="0"/>
          <w:bCs w:val="0"/>
          <w:highlight w:val="green"/>
        </w:rPr>
        <w:t xml:space="preserve">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lastRenderedPageBreak/>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 xml:space="preserve">Gobierno de IA, conforme al numeral 7.6. Esta incorporación alcanza al Modelo de </w:t>
      </w:r>
      <w:r w:rsidR="00950EB9">
        <w:rPr>
          <w:rFonts w:ascii="Arial" w:hAnsi="Arial" w:cs="Arial"/>
          <w:highlight w:val="green"/>
        </w:rPr>
        <w:t>Gobernabilidad</w:t>
      </w:r>
      <w:r w:rsidR="00EF2B54" w:rsidRPr="00EF2B54">
        <w:rPr>
          <w:rFonts w:ascii="Arial" w:hAnsi="Arial" w:cs="Arial"/>
          <w:highlight w:val="green"/>
        </w:rPr>
        <w:t xml:space="preserve"> de</w:t>
      </w:r>
      <w:r w:rsidR="00EF2B54" w:rsidRPr="00EF2B54">
        <w:rPr>
          <w:rFonts w:ascii="Arial" w:hAnsi="Arial" w:cs="Arial"/>
          <w:highlight w:val="green"/>
        </w:rPr>
        <w:t xml:space="preserve"> </w:t>
      </w:r>
      <w:r w:rsidR="00F36D39">
        <w:rPr>
          <w:rFonts w:ascii="Arial" w:hAnsi="Arial" w:cs="Arial"/>
          <w:highlight w:val="green"/>
        </w:rPr>
        <w:t>Programas</w:t>
      </w:r>
      <w:r w:rsidR="00EF2B54" w:rsidRPr="00EF2B54">
        <w:rPr>
          <w:rFonts w:ascii="Arial" w:hAnsi="Arial" w:cs="Arial"/>
          <w:highlight w:val="green"/>
        </w:rPr>
        <w:t xml:space="preserve"> y </w:t>
      </w:r>
      <w:r w:rsidR="00F36D39">
        <w:rPr>
          <w:rFonts w:ascii="Arial" w:hAnsi="Arial" w:cs="Arial"/>
          <w:highlight w:val="green"/>
        </w:rPr>
        <w:t>Proyectos</w:t>
      </w:r>
      <w:r w:rsidR="00EF2B54" w:rsidRPr="00EF2B54">
        <w:rPr>
          <w:rFonts w:ascii="Arial" w:hAnsi="Arial" w:cs="Arial"/>
          <w:highlight w:val="green"/>
        </w:rPr>
        <w:t xml:space="preserve">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r w:rsidR="00C10D18" w:rsidRPr="00C10D18">
        <w:rPr>
          <w:rFonts w:asciiTheme="minorHAnsi" w:eastAsiaTheme="minorEastAsia" w:hAnsiTheme="minorHAnsi" w:cstheme="minorBidi"/>
          <w:b w:val="0"/>
          <w:bCs w:val="0"/>
        </w:rPr>
        <w:t xml:space="preserve"> </w:t>
      </w:r>
      <w:r w:rsidR="00C10D18" w:rsidRPr="00C10D18">
        <w:rPr>
          <w:b w:val="0"/>
          <w:bCs w:val="0"/>
          <w:highlight w:val="yellow"/>
        </w:rPr>
        <w:t>El CGTD adopta el acuerdo de propuesta de conformación en su primera sesión posterior a la entrada en vigencia de la presente directiva. En tanto la Comisión de Gobierno de IA no se conforme, el CGTD ejerce las funciones que la presente directiva asigna a aquella, y la INSI prepara y eleva las propuestas correspondientes, recabando previamente la opinión de las unidades de organización a las que el numeral 5.4 asigna una materia.</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68AAD48" w:rsidR="0018147B" w:rsidRDefault="00000000" w:rsidP="00174519">
      <w:pPr>
        <w:pStyle w:val="SubtituloDONI"/>
        <w:spacing w:line="276" w:lineRule="auto"/>
        <w:ind w:left="851"/>
        <w:rPr>
          <w:b w:val="0"/>
          <w:bCs w:val="0"/>
        </w:rPr>
      </w:pPr>
      <w:r w:rsidRPr="008133DB">
        <w:rPr>
          <w:b w:val="0"/>
          <w:bCs w:val="0"/>
          <w:highlight w:val="green"/>
        </w:rPr>
        <w:t>7.9</w:t>
      </w:r>
      <w:r w:rsidRPr="008133DB">
        <w:rPr>
          <w:b w:val="0"/>
          <w:bCs w:val="0"/>
          <w:highlight w:val="green"/>
        </w:rPr>
        <w:tab/>
      </w:r>
      <w:r w:rsidR="008133DB" w:rsidRPr="008133DB">
        <w:rPr>
          <w:b w:val="0"/>
          <w:bCs w:val="0"/>
          <w:highlight w:val="green"/>
        </w:rPr>
        <w:t xml:space="preserve">El detalle de aplicación de los Anexos </w:t>
      </w:r>
      <w:r w:rsidR="008133DB" w:rsidRPr="008133DB">
        <w:rPr>
          <w:b w:val="0"/>
          <w:bCs w:val="0"/>
          <w:highlight w:val="green"/>
        </w:rPr>
        <w:t>(</w:t>
      </w:r>
      <w:r w:rsidR="008133DB" w:rsidRPr="008133DB">
        <w:rPr>
          <w:b w:val="0"/>
          <w:bCs w:val="0"/>
          <w:highlight w:val="green"/>
        </w:rPr>
        <w:t>los formatos, los criterios de registro, los catálogos de valores y los indicadores operativos, así como los campos adicionales que resulten necesarios</w:t>
      </w:r>
      <w:r w:rsidR="008133DB" w:rsidRPr="008133DB">
        <w:rPr>
          <w:b w:val="0"/>
          <w:bCs w:val="0"/>
          <w:highlight w:val="green"/>
        </w:rPr>
        <w:t>)</w:t>
      </w:r>
      <w:r w:rsidR="008133DB" w:rsidRPr="008133DB">
        <w:rPr>
          <w:b w:val="0"/>
          <w:bCs w:val="0"/>
          <w:highlight w:val="green"/>
        </w:rPr>
        <w:t xml:space="preserve"> se establece en los documentos normativos institucionales </w:t>
      </w:r>
      <w:r w:rsidR="008133DB" w:rsidRPr="008133DB">
        <w:rPr>
          <w:b w:val="0"/>
          <w:bCs w:val="0"/>
          <w:highlight w:val="green"/>
        </w:rPr>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sidR="004A0CE8" w:rsidRPr="004A0CE8">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sidR="00641EAF" w:rsidRPr="00641EAF">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sidRPr="002B0710">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sidRPr="002B0710">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sidRPr="00641EAF">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w:t>
      </w:r>
      <w:r w:rsidR="00EC79A5">
        <w:rPr>
          <w:b w:val="0"/>
          <w:bCs w:val="0"/>
          <w:color w:val="000000"/>
        </w:rPr>
        <w:t>RLIA</w:t>
      </w:r>
      <w:r>
        <w:rPr>
          <w:b w:val="0"/>
          <w:bCs w:val="0"/>
          <w:color w:val="000000"/>
        </w:rPr>
        <w:t>, protección de datos</w:t>
      </w:r>
      <w:r w:rsidR="00EC79A5">
        <w:rPr>
          <w:b w:val="0"/>
          <w:bCs w:val="0"/>
          <w:color w:val="000000"/>
        </w:rPr>
        <w:t xml:space="preserve"> personales y</w:t>
      </w:r>
      <w:r>
        <w:rPr>
          <w:b w:val="0"/>
          <w:bCs w:val="0"/>
          <w:color w:val="000000"/>
        </w:rPr>
        <w:t xml:space="preserve">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sidRPr="00EC79A5">
        <w:rPr>
          <w:b w:val="0"/>
          <w:bCs w:val="0"/>
          <w:color w:val="000000"/>
          <w:highlight w:val="green"/>
        </w:rPr>
        <w:t>Revisiones y aprobación: firmas del propietario del caso de uso, de la Comisión de Gobierno de IA, de la OII y de la INALI, esta última en materia de cumplimiento normativo, en señal de revisión conforme al numeral 6.4.2; referencia a la opinión de la Intendencia Nacional Jurídico Tributaria o de la Intendencia Nacional Jurídico Aduanera cuando se hubiera convocado conforme al numeral 5.4;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sidRPr="0037497B">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lastRenderedPageBreak/>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sidRPr="00CA74AD">
        <w:rPr>
          <w:b w:val="0"/>
          <w:bCs w:val="0"/>
          <w:color w:val="000000"/>
          <w:highlight w:val="green"/>
        </w:rPr>
        <w:t>V</w:t>
      </w:r>
      <w:r w:rsidRPr="00CA74AD">
        <w:rPr>
          <w:b w:val="0"/>
          <w:bCs w:val="0"/>
          <w:color w:val="000000"/>
          <w:highlight w:val="green"/>
        </w:rPr>
        <w:t>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sidRPr="0037497B">
        <w:rPr>
          <w:b w:val="0"/>
          <w:bCs w:val="0"/>
          <w:highlight w:val="green"/>
        </w:rPr>
        <w:t>Pronunciamiento de la Comisión de Gobierno de IA conforme al numeral 6.15.1 y firma de su Coordinador.</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F7EC4" w14:textId="77777777" w:rsidR="00413423" w:rsidRDefault="00413423">
      <w:pPr>
        <w:spacing w:after="0" w:line="240" w:lineRule="auto"/>
      </w:pPr>
      <w:r>
        <w:separator/>
      </w:r>
    </w:p>
  </w:endnote>
  <w:endnote w:type="continuationSeparator" w:id="0">
    <w:p w14:paraId="2C77E9EE" w14:textId="77777777" w:rsidR="00413423" w:rsidRDefault="004134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1E01B8" w14:textId="77777777" w:rsidR="00413423" w:rsidRDefault="00413423">
      <w:pPr>
        <w:spacing w:after="0" w:line="240" w:lineRule="auto"/>
      </w:pPr>
      <w:r>
        <w:separator/>
      </w:r>
    </w:p>
  </w:footnote>
  <w:footnote w:type="continuationSeparator" w:id="0">
    <w:p w14:paraId="0DC26965" w14:textId="77777777" w:rsidR="00413423" w:rsidRDefault="00413423">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5F7"/>
    <w:rsid w:val="003327C9"/>
    <w:rsid w:val="0033689D"/>
    <w:rsid w:val="0034493F"/>
    <w:rsid w:val="00344C8A"/>
    <w:rsid w:val="00352D87"/>
    <w:rsid w:val="003530CE"/>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13423"/>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7A73"/>
    <w:rsid w:val="00E75696"/>
    <w:rsid w:val="00E810C0"/>
    <w:rsid w:val="00E87621"/>
    <w:rsid w:val="00E9145B"/>
    <w:rsid w:val="00E950CF"/>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9829</TotalTime>
  <Pages>47</Pages>
  <Words>16420</Words>
  <Characters>90314</Characters>
  <Application>Microsoft Office Word</Application>
  <DocSecurity>0</DocSecurity>
  <Lines>752</Lines>
  <Paragraphs>213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239</cp:revision>
  <dcterms:created xsi:type="dcterms:W3CDTF">2026-03-23T21:09:00Z</dcterms:created>
  <dcterms:modified xsi:type="dcterms:W3CDTF">2026-08-28T04:04:00Z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