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E12EDA" w14:textId="77777777" w:rsidR="0060099A" w:rsidRPr="00863A18" w:rsidRDefault="0060099A" w:rsidP="00ED2DC8">
      <w:pPr>
        <w:spacing w:after="0" w:line="240" w:lineRule="auto"/>
        <w:jc w:val="center"/>
        <w:rPr>
          <w:rFonts w:ascii="Arial" w:hAnsi="Arial" w:cs="Arial"/>
        </w:rPr>
      </w:pPr>
      <w:bookmarkStart w:id="0" w:name="_Hlk8641159"/>
    </w:p>
    <w:bookmarkEnd w:id="0"/>
    <w:p w14:paraId="1BCF1B1E" w14:textId="77777777" w:rsidR="0060099A" w:rsidRPr="00863A18" w:rsidRDefault="0060099A" w:rsidP="00ED2DC8">
      <w:pPr>
        <w:spacing w:after="0" w:line="240" w:lineRule="auto"/>
        <w:jc w:val="center"/>
        <w:rPr>
          <w:rFonts w:ascii="Arial" w:hAnsi="Arial" w:cs="Arial"/>
        </w:rPr>
      </w:pPr>
    </w:p>
    <w:p w14:paraId="73501108" w14:textId="77777777" w:rsidR="0060099A" w:rsidRPr="00863A18" w:rsidRDefault="0060099A" w:rsidP="00ED2DC8">
      <w:pPr>
        <w:spacing w:after="0" w:line="240" w:lineRule="auto"/>
        <w:jc w:val="center"/>
        <w:rPr>
          <w:rFonts w:ascii="Arial" w:hAnsi="Arial" w:cs="Arial"/>
        </w:rPr>
      </w:pPr>
    </w:p>
    <w:p w14:paraId="61AA5684" w14:textId="77777777" w:rsidR="0060099A" w:rsidRPr="00863A18" w:rsidRDefault="0060099A" w:rsidP="00ED2DC8">
      <w:pPr>
        <w:spacing w:after="0" w:line="240" w:lineRule="auto"/>
        <w:jc w:val="center"/>
        <w:rPr>
          <w:rFonts w:ascii="Arial" w:hAnsi="Arial" w:cs="Arial"/>
        </w:rPr>
      </w:pPr>
    </w:p>
    <w:p w14:paraId="5EC5F479" w14:textId="77777777" w:rsidR="0060099A" w:rsidRPr="00863A18" w:rsidRDefault="0060099A" w:rsidP="00ED2DC8">
      <w:pPr>
        <w:spacing w:after="0" w:line="240" w:lineRule="auto"/>
        <w:jc w:val="center"/>
        <w:rPr>
          <w:rFonts w:ascii="Arial" w:hAnsi="Arial" w:cs="Arial"/>
        </w:rPr>
      </w:pPr>
    </w:p>
    <w:p w14:paraId="6B409CB9" w14:textId="77777777" w:rsidR="0060099A" w:rsidRPr="00863A18" w:rsidRDefault="0060099A" w:rsidP="00ED2DC8">
      <w:pPr>
        <w:spacing w:after="0" w:line="240" w:lineRule="auto"/>
        <w:jc w:val="center"/>
        <w:rPr>
          <w:rFonts w:ascii="Arial" w:hAnsi="Arial" w:cs="Arial"/>
          <w:b/>
          <w:bCs/>
        </w:rPr>
      </w:pPr>
      <w:r>
        <w:rPr>
          <w:rFonts w:ascii="Arial" w:hAnsi="Arial" w:cs="Arial"/>
          <w:b/>
          <w:noProof/>
        </w:rPr>
        <w:drawing>
          <wp:anchor distT="0" distB="0" distL="114300" distR="114300" simplePos="0" relativeHeight="251659264" behindDoc="1" locked="0" layoutInCell="1" allowOverlap="1" wp14:anchorId="6EA6AC39" wp14:editId="0B29F395">
            <wp:simplePos x="0" y="0"/>
            <wp:positionH relativeFrom="margin">
              <wp:align>right</wp:align>
            </wp:positionH>
            <wp:positionV relativeFrom="margin">
              <wp:posOffset>816610</wp:posOffset>
            </wp:positionV>
            <wp:extent cx="3300095" cy="989965"/>
            <wp:effectExtent l="0" t="0" r="0" b="635"/>
            <wp:wrapNone/>
            <wp:docPr id="3" name="Imagen 1" descr="LOGO SUNAT nuevo-01.png"/>
            <wp:cNvGraphicFramePr/>
            <a:graphic xmlns:a="http://schemas.openxmlformats.org/drawingml/2006/main">
              <a:graphicData uri="http://schemas.openxmlformats.org/drawingml/2006/picture">
                <pic:pic xmlns:pic="http://schemas.openxmlformats.org/drawingml/2006/picture">
                  <pic:nvPicPr>
                    <pic:cNvPr id="11" name="Imagen 10" descr="LOGO SUNAT nuevo-01.png"/>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00095" cy="989965"/>
                    </a:xfrm>
                    <a:prstGeom prst="rect">
                      <a:avLst/>
                    </a:prstGeom>
                  </pic:spPr>
                </pic:pic>
              </a:graphicData>
            </a:graphic>
            <wp14:sizeRelH relativeFrom="margin">
              <wp14:pctWidth>0</wp14:pctWidth>
            </wp14:sizeRelH>
            <wp14:sizeRelV relativeFrom="margin">
              <wp14:pctHeight>0</wp14:pctHeight>
            </wp14:sizeRelV>
          </wp:anchor>
        </w:drawing>
      </w:r>
    </w:p>
    <w:p w14:paraId="28C94C16" w14:textId="77777777" w:rsidR="0060099A" w:rsidRPr="00863A18" w:rsidRDefault="0060099A" w:rsidP="00ED2DC8">
      <w:pPr>
        <w:spacing w:after="0" w:line="240" w:lineRule="auto"/>
        <w:jc w:val="center"/>
        <w:rPr>
          <w:rFonts w:ascii="Arial" w:hAnsi="Arial" w:cs="Arial"/>
          <w:b/>
          <w:bCs/>
        </w:rPr>
      </w:pPr>
    </w:p>
    <w:p w14:paraId="4D78AA9A" w14:textId="77777777" w:rsidR="0060099A" w:rsidRPr="00863A18" w:rsidRDefault="0060099A" w:rsidP="00ED2DC8">
      <w:pPr>
        <w:spacing w:after="0" w:line="240" w:lineRule="auto"/>
        <w:jc w:val="center"/>
        <w:rPr>
          <w:rFonts w:ascii="Arial" w:hAnsi="Arial" w:cs="Arial"/>
          <w:b/>
          <w:bCs/>
        </w:rPr>
      </w:pPr>
    </w:p>
    <w:p w14:paraId="2935C225" w14:textId="77777777" w:rsidR="00521B40" w:rsidRPr="00863A18" w:rsidRDefault="00521B40" w:rsidP="00ED2DC8">
      <w:pPr>
        <w:spacing w:after="0" w:line="240" w:lineRule="auto"/>
        <w:jc w:val="right"/>
        <w:rPr>
          <w:rFonts w:ascii="Arial" w:hAnsi="Arial" w:cs="Arial"/>
          <w:b/>
          <w:bCs/>
          <w:sz w:val="56"/>
          <w:szCs w:val="56"/>
        </w:rPr>
      </w:pPr>
    </w:p>
    <w:p w14:paraId="0E65C403" w14:textId="77777777" w:rsidR="00521B40" w:rsidRPr="00863A18" w:rsidRDefault="00521B40" w:rsidP="00ED2DC8">
      <w:pPr>
        <w:spacing w:after="0" w:line="240" w:lineRule="auto"/>
        <w:jc w:val="right"/>
        <w:rPr>
          <w:rFonts w:ascii="Arial" w:hAnsi="Arial" w:cs="Arial"/>
          <w:b/>
          <w:bCs/>
          <w:sz w:val="56"/>
          <w:szCs w:val="56"/>
        </w:rPr>
      </w:pPr>
    </w:p>
    <w:p w14:paraId="711D4DE6" w14:textId="77777777" w:rsidR="00521B40" w:rsidRPr="00863A18" w:rsidRDefault="00521B40" w:rsidP="00ED2DC8">
      <w:pPr>
        <w:spacing w:after="0" w:line="240" w:lineRule="auto"/>
        <w:jc w:val="right"/>
        <w:rPr>
          <w:rFonts w:ascii="Arial" w:hAnsi="Arial" w:cs="Arial"/>
          <w:b/>
          <w:bCs/>
          <w:sz w:val="56"/>
          <w:szCs w:val="56"/>
        </w:rPr>
      </w:pPr>
    </w:p>
    <w:p w14:paraId="0C427435" w14:textId="77777777" w:rsidR="0060099A" w:rsidRPr="00863A18" w:rsidRDefault="0060099A" w:rsidP="00ED2DC8">
      <w:pPr>
        <w:spacing w:after="0" w:line="240" w:lineRule="auto"/>
        <w:jc w:val="right"/>
        <w:rPr>
          <w:rFonts w:ascii="Arial" w:hAnsi="Arial" w:cs="Arial"/>
          <w:sz w:val="56"/>
          <w:szCs w:val="56"/>
        </w:rPr>
      </w:pPr>
      <w:r>
        <w:rPr>
          <w:rFonts w:ascii="Arial" w:hAnsi="Arial" w:cs="Arial"/>
          <w:b/>
          <w:bCs/>
          <w:sz w:val="56"/>
          <w:szCs w:val="56"/>
        </w:rPr>
        <w:t>Directiva de Gobierno, Gestión del Ciclo de Vida y Uso Responsable de los Sistemas Basados en Inteligencia Artificial en la SUNAT</w:t>
      </w:r>
    </w:p>
    <w:p w14:paraId="6C70CE46" w14:textId="77777777" w:rsidR="0060099A" w:rsidRPr="00863A18" w:rsidRDefault="0060099A" w:rsidP="00ED2DC8">
      <w:pPr>
        <w:pStyle w:val="Versin"/>
        <w:jc w:val="right"/>
        <w:rPr>
          <w:rFonts w:ascii="Arial" w:hAnsi="Arial" w:cs="Arial"/>
        </w:rPr>
      </w:pPr>
      <w:r>
        <w:rPr>
          <w:rFonts w:ascii="Arial" w:hAnsi="Arial" w:cs="Arial"/>
        </w:rPr>
        <w:t>Versión 1.0</w:t>
      </w:r>
    </w:p>
    <w:p w14:paraId="3EA63609" w14:textId="77777777" w:rsidR="0060099A" w:rsidRPr="00863A18" w:rsidRDefault="0060099A" w:rsidP="00ED2DC8">
      <w:pPr>
        <w:spacing w:after="0" w:line="240" w:lineRule="auto"/>
        <w:jc w:val="right"/>
        <w:rPr>
          <w:rFonts w:ascii="Arial" w:eastAsiaTheme="minorHAnsi" w:hAnsi="Arial" w:cs="Arial"/>
          <w:b/>
          <w:sz w:val="56"/>
          <w:szCs w:val="56"/>
        </w:rPr>
      </w:pPr>
    </w:p>
    <w:p w14:paraId="0973D29C" w14:textId="77777777" w:rsidR="0060099A" w:rsidRPr="00863A18" w:rsidRDefault="0060099A" w:rsidP="00ED2DC8">
      <w:pPr>
        <w:spacing w:after="0" w:line="240" w:lineRule="auto"/>
        <w:jc w:val="right"/>
        <w:rPr>
          <w:rFonts w:ascii="Arial" w:eastAsiaTheme="minorHAnsi" w:hAnsi="Arial" w:cs="Arial"/>
          <w:b/>
        </w:rPr>
      </w:pPr>
      <w:r>
        <w:rPr>
          <w:rFonts w:ascii="Arial" w:hAnsi="Arial" w:cs="Arial"/>
          <w:noProof/>
        </w:rPr>
        <mc:AlternateContent>
          <mc:Choice Requires="wps">
            <w:drawing>
              <wp:inline distT="0" distB="0" distL="0" distR="0" wp14:anchorId="63724BC1" wp14:editId="32D126E5">
                <wp:extent cx="1786480" cy="603250"/>
                <wp:effectExtent l="19050" t="19050" r="23495" b="25400"/>
                <wp:docPr id="1" name="Rectángulo: esquinas redondeadas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86480" cy="603250"/>
                        </a:xfrm>
                        <a:prstGeom prst="roundRect">
                          <a:avLst>
                            <a:gd name="adj" fmla="val 16667"/>
                          </a:avLst>
                        </a:prstGeom>
                        <a:solidFill>
                          <a:srgbClr val="FFFFFF"/>
                        </a:solidFill>
                        <a:ln w="28575">
                          <a:solidFill>
                            <a:srgbClr val="000000"/>
                          </a:solidFill>
                          <a:round/>
                          <a:headEnd/>
                          <a:tailEnd/>
                        </a:ln>
                        <a:effectLst/>
                        <a:extLst>
                          <a:ext uri="{AF507438-7753-43E0-B8FC-AC1667EBCBE1}">
                            <a14:hiddenEffects xmlns:a14="http://schemas.microsoft.com/office/drawing/2010/main">
                              <a:effectLst>
                                <a:outerShdw dist="107763" dir="2700000" algn="ctr" rotWithShape="0">
                                  <a:srgbClr val="808080"/>
                                </a:outerShdw>
                              </a:effectLst>
                            </a14:hiddenEffects>
                          </a:ext>
                        </a:extLst>
                      </wps:spPr>
                      <wps:txbx>
                        <w:txbxContent>
                          <w:p w14:paraId="6DA988A5"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1BEC2212"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wps:txbx>
                      <wps:bodyPr rot="0" vert="horz" wrap="square" lIns="91440" tIns="45720" rIns="91440" bIns="45720" anchor="t" anchorCtr="0" upright="1">
                        <a:noAutofit/>
                      </wps:bodyPr>
                    </wps:wsp>
                  </a:graphicData>
                </a:graphic>
              </wp:inline>
            </w:drawing>
          </mc:Choice>
          <mc:Fallback>
            <w:pict>
              <v:roundrect w14:anchorId="63724BC1" id="Rectángulo: esquinas redondeadas 2" o:spid="_x0000_s1026" style="width:140.65pt;height:47.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" strokeweight="2.25pt">
                <v:shadow offset="6pt,6pt"/>
                <v:textbox>
                  <w:txbxContent>
                    <w:p w14:paraId="6DA988A5"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1BEC2212"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v:textbox>
                <w10:anchorlock/>
              </v:roundrect>
            </w:pict>
          </mc:Fallback>
        </mc:AlternateContent>
      </w:r>
    </w:p>
    <w:p w14:paraId="3B636E42" w14:textId="77777777" w:rsidR="0060099A" w:rsidRPr="00863A18" w:rsidRDefault="0060099A" w:rsidP="00ED2DC8">
      <w:pPr>
        <w:spacing w:after="0" w:line="240" w:lineRule="auto"/>
        <w:jc w:val="center"/>
        <w:rPr>
          <w:rFonts w:ascii="Arial" w:eastAsia="Calibri" w:hAnsi="Arial" w:cs="Arial"/>
        </w:rPr>
      </w:pPr>
    </w:p>
    <w:p w14:paraId="7089ADAB" w14:textId="77777777" w:rsidR="0060099A" w:rsidRPr="00863A18" w:rsidRDefault="0060099A" w:rsidP="00ED2DC8">
      <w:pPr>
        <w:spacing w:after="0" w:line="240" w:lineRule="auto"/>
        <w:jc w:val="center"/>
        <w:rPr>
          <w:rFonts w:ascii="Arial" w:eastAsia="Calibri" w:hAnsi="Arial" w:cs="Arial"/>
        </w:rPr>
      </w:pPr>
    </w:p>
    <w:p w14:paraId="6CD87533" w14:textId="77777777" w:rsidR="0060099A" w:rsidRPr="00863A18" w:rsidRDefault="0060099A" w:rsidP="00ED2DC8">
      <w:pPr>
        <w:spacing w:after="0" w:line="240" w:lineRule="auto"/>
        <w:jc w:val="center"/>
        <w:rPr>
          <w:rFonts w:ascii="Arial" w:eastAsia="Calibri" w:hAnsi="Arial" w:cs="Arial"/>
        </w:rPr>
      </w:pPr>
    </w:p>
    <w:p w14:paraId="47151DF0" w14:textId="77777777" w:rsidR="0060099A" w:rsidRPr="00863A18" w:rsidRDefault="0060099A" w:rsidP="00ED2DC8">
      <w:pPr>
        <w:spacing w:after="0" w:line="240" w:lineRule="auto"/>
        <w:jc w:val="center"/>
        <w:rPr>
          <w:rFonts w:ascii="Arial" w:eastAsia="Calibri" w:hAnsi="Arial" w:cs="Arial"/>
        </w:rPr>
      </w:pPr>
    </w:p>
    <w:p w14:paraId="102A5622" w14:textId="77777777" w:rsidR="00521B40" w:rsidRPr="00863A18" w:rsidRDefault="00521B40" w:rsidP="00ED2DC8">
      <w:pPr>
        <w:spacing w:after="0" w:line="240" w:lineRule="auto"/>
        <w:jc w:val="center"/>
        <w:rPr>
          <w:rFonts w:ascii="Arial" w:eastAsia="Calibri" w:hAnsi="Arial" w:cs="Arial"/>
        </w:rPr>
      </w:pPr>
    </w:p>
    <w:p w14:paraId="433716F1" w14:textId="77777777" w:rsidR="00521B40" w:rsidRPr="00863A18" w:rsidRDefault="00521B40" w:rsidP="00ED2DC8">
      <w:pPr>
        <w:spacing w:after="0" w:line="240" w:lineRule="auto"/>
        <w:jc w:val="center"/>
        <w:rPr>
          <w:rFonts w:ascii="Arial" w:eastAsia="Calibri" w:hAnsi="Arial" w:cs="Arial"/>
        </w:rPr>
      </w:pPr>
    </w:p>
    <w:p w14:paraId="3377E50E" w14:textId="77777777" w:rsidR="004503ED" w:rsidRDefault="004503ED" w:rsidP="00ED2DC8">
      <w:pPr>
        <w:spacing w:after="0" w:line="240" w:lineRule="auto"/>
        <w:jc w:val="center"/>
        <w:rPr>
          <w:rFonts w:ascii="Arial" w:eastAsia="Calibri" w:hAnsi="Arial" w:cs="Arial"/>
        </w:rPr>
      </w:pPr>
    </w:p>
    <w:p w14:paraId="199B2B32" w14:textId="77777777" w:rsidR="004503ED" w:rsidRPr="00863A18" w:rsidRDefault="004503ED" w:rsidP="00ED2DC8">
      <w:pPr>
        <w:spacing w:after="0" w:line="240" w:lineRule="auto"/>
        <w:jc w:val="center"/>
        <w:rPr>
          <w:rFonts w:ascii="Arial" w:eastAsia="Calibri" w:hAnsi="Arial" w:cs="Arial"/>
        </w:rPr>
      </w:pPr>
    </w:p>
    <w:p w14:paraId="70D4E039" w14:textId="77777777" w:rsidR="000C43E2" w:rsidRPr="002222E3" w:rsidRDefault="002222E3" w:rsidP="00ED2DC8">
      <w:pPr>
        <w:spacing w:after="0" w:line="240" w:lineRule="auto"/>
        <w:jc w:val="center"/>
        <w:rPr>
          <w:rFonts w:ascii="Arial" w:hAnsi="Arial" w:cs="Arial"/>
          <w:b/>
          <w:bCs/>
          <w:sz w:val="32"/>
          <w:szCs w:val="32"/>
        </w:rPr>
      </w:pPr>
      <w:r>
        <w:rPr>
          <w:rFonts w:ascii="Arial" w:hAnsi="Arial" w:cs="Arial"/>
          <w:b/>
          <w:bCs/>
          <w:sz w:val="32"/>
          <w:szCs w:val="32"/>
        </w:rPr>
        <w:t>Comité de Gobierno y Transformación Digital</w:t>
      </w:r>
    </w:p>
    <w:p w14:paraId="31AADA5A" w14:textId="77777777" w:rsidR="0060099A" w:rsidRPr="00863A18" w:rsidRDefault="0060099A" w:rsidP="00ED2DC8">
      <w:pPr>
        <w:spacing w:after="0" w:line="240" w:lineRule="auto"/>
        <w:jc w:val="center"/>
        <w:rPr>
          <w:rFonts w:ascii="Arial" w:hAnsi="Arial" w:cs="Arial"/>
          <w:b/>
          <w:bCs/>
          <w:sz w:val="32"/>
          <w:szCs w:val="32"/>
        </w:rPr>
      </w:pPr>
      <w:r>
        <w:rPr>
          <w:rFonts w:ascii="Arial" w:hAnsi="Arial" w:cs="Arial"/>
          <w:b/>
          <w:bCs/>
          <w:sz w:val="32"/>
          <w:szCs w:val="32"/>
        </w:rPr>
        <w:t>Superintendencia Nacional de Aduanas y de Administración Tributaria</w:t>
      </w:r>
    </w:p>
    <w:p w14:paraId="02877B0D" w14:textId="77777777" w:rsidR="0060099A" w:rsidRPr="00863A18" w:rsidRDefault="0060099A" w:rsidP="00ED2DC8">
      <w:pPr>
        <w:spacing w:after="0" w:line="240" w:lineRule="auto"/>
        <w:jc w:val="center"/>
        <w:rPr>
          <w:rFonts w:ascii="Arial" w:hAnsi="Arial" w:cs="Arial"/>
          <w:b/>
          <w:bCs/>
          <w:sz w:val="32"/>
          <w:szCs w:val="32"/>
        </w:rPr>
      </w:pPr>
    </w:p>
    <w:p w14:paraId="228858B9" w14:textId="77777777" w:rsidR="0060099A" w:rsidRPr="00863A18" w:rsidRDefault="003204D8" w:rsidP="00ED2DC8">
      <w:pPr>
        <w:spacing w:after="0" w:line="240" w:lineRule="auto"/>
        <w:jc w:val="center"/>
        <w:rPr>
          <w:rFonts w:ascii="Arial" w:hAnsi="Arial" w:cs="Arial"/>
          <w:b/>
          <w:bCs/>
          <w:sz w:val="32"/>
          <w:szCs w:val="32"/>
        </w:rPr>
      </w:pPr>
      <w:r>
        <w:rPr>
          <w:rFonts w:ascii="Arial" w:hAnsi="Arial" w:cs="Arial"/>
          <w:b/>
          <w:bCs/>
          <w:sz w:val="32"/>
          <w:szCs w:val="32"/>
        </w:rPr>
        <w:t>Agosto 2026</w:t>
      </w:r>
    </w:p>
    <w:p w14:paraId="63C0711F" w14:textId="77777777" w:rsidR="00B87F34" w:rsidRPr="00863A18" w:rsidRDefault="00B87F34" w:rsidP="00ED2DC8">
      <w:pPr>
        <w:spacing w:after="0" w:line="240" w:lineRule="auto"/>
        <w:rPr>
          <w:rFonts w:ascii="Arial" w:hAnsi="Arial" w:cs="Arial"/>
        </w:rPr>
        <w:sectPr w:rsidR="00B87F34" w:rsidRPr="00863A18">
          <w:pgSz w:w="11906" w:h="16838"/>
          <w:pgMar w:top="1701" w:right="1418" w:bottom="1701" w:left="1701" w:header="708" w:footer="708" w:gutter="0"/>
          <w:cols w:space="720"/>
          <w:docGrid w:linePitch="360"/>
        </w:sectPr>
      </w:pPr>
    </w:p>
    <w:p w14:paraId="68C0A0C7" w14:textId="77777777" w:rsidR="00B87F34" w:rsidRDefault="002102ED" w:rsidP="00B23382">
      <w:pPr>
        <w:spacing w:after="0" w:line="240" w:lineRule="auto"/>
        <w:jc w:val="center"/>
        <w:rPr>
          <w:rFonts w:ascii="Arial" w:eastAsia="Arial" w:hAnsi="Arial" w:cs="Arial"/>
          <w:b/>
          <w:bCs/>
        </w:rPr>
      </w:pPr>
      <w:r>
        <w:rPr>
          <w:rFonts w:ascii="Arial" w:eastAsia="Arial" w:hAnsi="Arial" w:cs="Arial"/>
          <w:b/>
          <w:bCs/>
        </w:rPr>
        <w:lastRenderedPageBreak/>
        <w:t>ÍNDICE</w:t>
      </w:r>
    </w:p>
    <w:p w14:paraId="40E4EF6C" w14:textId="77777777" w:rsidR="00833450" w:rsidRPr="00863A18" w:rsidRDefault="00833450" w:rsidP="00B23382">
      <w:pPr>
        <w:spacing w:after="0" w:line="240" w:lineRule="auto"/>
        <w:jc w:val="center"/>
        <w:rPr>
          <w:rFonts w:ascii="Arial" w:hAnsi="Arial" w:cs="Arial"/>
        </w:rPr>
      </w:pPr>
    </w:p>
    <w:p w14:paraId="29C1E91D" w14:textId="77777777" w:rsidR="00833450" w:rsidRDefault="0060099A" w:rsidP="00833450">
      <w:pPr>
        <w:pStyle w:val="TDC1"/>
        <w:spacing w:line="276" w:lineRule="auto"/>
        <w:rPr>
          <w:kern w:val="2"/>
          <w:sz w:val="24"/>
          <w:szCs w:val="24"/>
          <w:lang w:eastAsia="es-PE"/>
          <w14:ligatures w14:val="standardContextual"/>
        </w:rPr>
      </w:pPr>
      <w:r>
        <w:rPr>
          <w:rFonts w:ascii="Arial" w:hAnsi="Arial" w:cs="Arial"/>
          <w:bCs/>
          <w:noProof w:val="0"/>
          <w:szCs w:val="22"/>
        </w:rPr>
        <w:fldChar w:fldCharType="begin"/>
      </w:r>
      <w:r>
        <w:rPr>
          <w:rFonts w:ascii="Arial" w:hAnsi="Arial" w:cs="Arial"/>
          <w:bCs/>
          <w:noProof w:val="0"/>
          <w:szCs w:val="22"/>
        </w:rPr>
        <w:instrText xml:space="preserve"> TOC \o "1-3" \h \z \u </w:instrText>
      </w:r>
      <w:r>
        <w:rPr>
          <w:rFonts w:ascii="Arial" w:hAnsi="Arial" w:cs="Arial"/>
          <w:bCs/>
          <w:noProof w:val="0"/>
          <w:szCs w:val="22"/>
        </w:rPr>
        <w:fldChar w:fldCharType="separate"/>
      </w:r>
      <w:hyperlink w:anchor="_Toc235003961" w:history="1">
        <w:r>
          <w:rPr>
            <w:rStyle w:val="Hipervnculo"/>
            <w:rFonts w:cs="Arial"/>
          </w:rPr>
          <w:t>I.</w:t>
        </w:r>
        <w:r>
          <w:rPr>
            <w:kern w:val="2"/>
            <w:sz w:val="24"/>
            <w:szCs w:val="24"/>
            <w:lang w:eastAsia="es-PE"/>
            <w14:ligatures w14:val="standardContextual"/>
          </w:rPr>
          <w:tab/>
        </w:r>
        <w:r>
          <w:rPr>
            <w:rStyle w:val="Hipervnculo"/>
            <w:rFonts w:cs="Arial"/>
            <w:bCs/>
          </w:rPr>
          <w:t>OBJETIVO</w:t>
        </w:r>
        <w:r>
          <w:rPr>
            <w:webHidden/>
          </w:rPr>
          <w:tab/>
        </w:r>
        <w:r>
          <w:rPr>
            <w:webHidden/>
          </w:rPr>
          <w:fldChar w:fldCharType="begin"/>
        </w:r>
        <w:r>
          <w:rPr>
            <w:webHidden/>
          </w:rPr>
          <w:instrText xml:space="preserve"> PAGEREF _Toc235003961 \h </w:instrText>
        </w:r>
        <w:r>
          <w:rPr>
            <w:webHidden/>
          </w:rPr>
        </w:r>
        <w:r>
          <w:rPr>
            <w:webHidden/>
          </w:rPr>
          <w:fldChar w:fldCharType="separate"/>
        </w:r>
        <w:r>
          <w:rPr>
            <w:webHidden/>
          </w:rPr>
          <w:t>4</w:t>
        </w:r>
        <w:r>
          <w:rPr>
            <w:webHidden/>
          </w:rPr>
          <w:fldChar w:fldCharType="end"/>
        </w:r>
      </w:hyperlink>
    </w:p>
    <w:p w14:paraId="0F18C013" w14:textId="77777777" w:rsidR="00833450" w:rsidRDefault="00833450" w:rsidP="00833450">
      <w:pPr>
        <w:pStyle w:val="TDC1"/>
        <w:spacing w:line="276" w:lineRule="auto"/>
        <w:rPr>
          <w:kern w:val="2"/>
          <w:sz w:val="24"/>
          <w:szCs w:val="24"/>
          <w:lang w:eastAsia="es-PE"/>
          <w14:ligatures w14:val="standardContextual"/>
        </w:rPr>
      </w:pPr>
      <w:hyperlink w:anchor="_Toc235003962" w:history="1">
        <w:r>
          <w:rPr>
            <w:rStyle w:val="Hipervnculo"/>
            <w:rFonts w:cs="Arial"/>
          </w:rPr>
          <w:t>II.</w:t>
        </w:r>
        <w:r>
          <w:rPr>
            <w:kern w:val="2"/>
            <w:sz w:val="24"/>
            <w:szCs w:val="24"/>
            <w:lang w:eastAsia="es-PE"/>
            <w14:ligatures w14:val="standardContextual"/>
          </w:rPr>
          <w:tab/>
        </w:r>
        <w:r>
          <w:rPr>
            <w:rStyle w:val="Hipervnculo"/>
            <w:rFonts w:cs="Arial"/>
            <w:bCs/>
          </w:rPr>
          <w:t>ALCANCE</w:t>
        </w:r>
        <w:r>
          <w:rPr>
            <w:webHidden/>
          </w:rPr>
          <w:tab/>
        </w:r>
        <w:r>
          <w:rPr>
            <w:webHidden/>
          </w:rPr>
          <w:fldChar w:fldCharType="begin"/>
        </w:r>
        <w:r>
          <w:rPr>
            <w:webHidden/>
          </w:rPr>
          <w:instrText xml:space="preserve"> PAGEREF _Toc235003962 \h </w:instrText>
        </w:r>
        <w:r>
          <w:rPr>
            <w:webHidden/>
          </w:rPr>
        </w:r>
        <w:r>
          <w:rPr>
            <w:webHidden/>
          </w:rPr>
          <w:fldChar w:fldCharType="separate"/>
        </w:r>
        <w:r>
          <w:rPr>
            <w:webHidden/>
          </w:rPr>
          <w:t>4</w:t>
        </w:r>
        <w:r>
          <w:rPr>
            <w:webHidden/>
          </w:rPr>
          <w:fldChar w:fldCharType="end"/>
        </w:r>
      </w:hyperlink>
    </w:p>
    <w:p w14:paraId="438D57C4" w14:textId="77777777" w:rsidR="00833450" w:rsidRDefault="00833450" w:rsidP="00833450">
      <w:pPr>
        <w:pStyle w:val="TDC1"/>
        <w:spacing w:line="276" w:lineRule="auto"/>
        <w:rPr>
          <w:kern w:val="2"/>
          <w:sz w:val="24"/>
          <w:szCs w:val="24"/>
          <w:lang w:eastAsia="es-PE"/>
          <w14:ligatures w14:val="standardContextual"/>
        </w:rPr>
      </w:pPr>
      <w:hyperlink w:anchor="_Toc235003963" w:history="1">
        <w:r>
          <w:rPr>
            <w:rStyle w:val="Hipervnculo"/>
            <w:rFonts w:cs="Arial"/>
          </w:rPr>
          <w:t>III.</w:t>
        </w:r>
        <w:r>
          <w:rPr>
            <w:kern w:val="2"/>
            <w:sz w:val="24"/>
            <w:szCs w:val="24"/>
            <w:lang w:eastAsia="es-PE"/>
            <w14:ligatures w14:val="standardContextual"/>
          </w:rPr>
          <w:tab/>
        </w:r>
        <w:r>
          <w:rPr>
            <w:rStyle w:val="Hipervnculo"/>
            <w:rFonts w:cs="Arial"/>
            <w:bCs/>
          </w:rPr>
          <w:t>BASE NORMATIVA</w:t>
        </w:r>
        <w:r>
          <w:rPr>
            <w:webHidden/>
          </w:rPr>
          <w:tab/>
        </w:r>
        <w:r>
          <w:rPr>
            <w:webHidden/>
          </w:rPr>
          <w:fldChar w:fldCharType="begin"/>
        </w:r>
        <w:r>
          <w:rPr>
            <w:webHidden/>
          </w:rPr>
          <w:instrText xml:space="preserve"> PAGEREF _Toc235003963 \h </w:instrText>
        </w:r>
        <w:r>
          <w:rPr>
            <w:webHidden/>
          </w:rPr>
        </w:r>
        <w:r>
          <w:rPr>
            <w:webHidden/>
          </w:rPr>
          <w:fldChar w:fldCharType="separate"/>
        </w:r>
        <w:r>
          <w:rPr>
            <w:webHidden/>
          </w:rPr>
          <w:t>4</w:t>
        </w:r>
        <w:r>
          <w:rPr>
            <w:webHidden/>
          </w:rPr>
          <w:fldChar w:fldCharType="end"/>
        </w:r>
      </w:hyperlink>
    </w:p>
    <w:p w14:paraId="206CE341" w14:textId="77777777" w:rsidR="00833450" w:rsidRDefault="00833450" w:rsidP="00833450">
      <w:pPr>
        <w:pStyle w:val="TDC1"/>
        <w:spacing w:line="276" w:lineRule="auto"/>
        <w:rPr>
          <w:kern w:val="2"/>
          <w:sz w:val="24"/>
          <w:szCs w:val="24"/>
          <w:lang w:eastAsia="es-PE"/>
          <w14:ligatures w14:val="standardContextual"/>
        </w:rPr>
      </w:pPr>
      <w:hyperlink w:anchor="_Toc235003964" w:history="1">
        <w:r>
          <w:rPr>
            <w:rStyle w:val="Hipervnculo"/>
            <w:rFonts w:cs="Arial"/>
          </w:rPr>
          <w:t>IV.</w:t>
        </w:r>
        <w:r>
          <w:rPr>
            <w:kern w:val="2"/>
            <w:sz w:val="24"/>
            <w:szCs w:val="24"/>
            <w:lang w:eastAsia="es-PE"/>
            <w14:ligatures w14:val="standardContextual"/>
          </w:rPr>
          <w:tab/>
        </w:r>
        <w:r>
          <w:rPr>
            <w:rStyle w:val="Hipervnculo"/>
            <w:rFonts w:cs="Arial"/>
            <w:bCs/>
          </w:rPr>
          <w:t>GLOSARIO DE TÉRMINOS</w:t>
        </w:r>
        <w:r>
          <w:rPr>
            <w:webHidden/>
          </w:rPr>
          <w:tab/>
        </w:r>
        <w:r>
          <w:rPr>
            <w:webHidden/>
          </w:rPr>
          <w:fldChar w:fldCharType="begin"/>
        </w:r>
        <w:r>
          <w:rPr>
            <w:webHidden/>
          </w:rPr>
          <w:instrText xml:space="preserve"> PAGEREF _Toc235003964 \h </w:instrText>
        </w:r>
        <w:r>
          <w:rPr>
            <w:webHidden/>
          </w:rPr>
        </w:r>
        <w:r>
          <w:rPr>
            <w:webHidden/>
          </w:rPr>
          <w:fldChar w:fldCharType="separate"/>
        </w:r>
        <w:r>
          <w:rPr>
            <w:webHidden/>
          </w:rPr>
          <w:t>6</w:t>
        </w:r>
        <w:r>
          <w:rPr>
            <w:webHidden/>
          </w:rPr>
          <w:fldChar w:fldCharType="end"/>
        </w:r>
      </w:hyperlink>
    </w:p>
    <w:p w14:paraId="0C57016B" w14:textId="77777777" w:rsidR="00833450" w:rsidRDefault="00833450" w:rsidP="00833450">
      <w:pPr>
        <w:pStyle w:val="TDC1"/>
        <w:spacing w:line="276" w:lineRule="auto"/>
        <w:rPr>
          <w:kern w:val="2"/>
          <w:sz w:val="24"/>
          <w:szCs w:val="24"/>
          <w:lang w:eastAsia="es-PE"/>
          <w14:ligatures w14:val="standardContextual"/>
        </w:rPr>
      </w:pPr>
      <w:hyperlink w:anchor="_Toc235003965" w:history="1">
        <w:r>
          <w:rPr>
            <w:rStyle w:val="Hipervnculo"/>
            <w:rFonts w:cs="Arial"/>
          </w:rPr>
          <w:t>V.</w:t>
        </w:r>
        <w:r>
          <w:rPr>
            <w:kern w:val="2"/>
            <w:sz w:val="24"/>
            <w:szCs w:val="24"/>
            <w:lang w:eastAsia="es-PE"/>
            <w14:ligatures w14:val="standardContextual"/>
          </w:rPr>
          <w:tab/>
        </w:r>
        <w:r>
          <w:rPr>
            <w:rStyle w:val="Hipervnculo"/>
            <w:rFonts w:cs="Arial"/>
            <w:bCs/>
          </w:rPr>
          <w:t>DISPOSICIONES GENERALES</w:t>
        </w:r>
        <w:r>
          <w:rPr>
            <w:webHidden/>
          </w:rPr>
          <w:tab/>
        </w:r>
        <w:r>
          <w:rPr>
            <w:webHidden/>
          </w:rPr>
          <w:fldChar w:fldCharType="begin"/>
        </w:r>
        <w:r>
          <w:rPr>
            <w:webHidden/>
          </w:rPr>
          <w:instrText xml:space="preserve"> PAGEREF _Toc235003965 \h </w:instrText>
        </w:r>
        <w:r>
          <w:rPr>
            <w:webHidden/>
          </w:rPr>
        </w:r>
        <w:r>
          <w:rPr>
            <w:webHidden/>
          </w:rPr>
          <w:fldChar w:fldCharType="separate"/>
        </w:r>
        <w:r>
          <w:rPr>
            <w:webHidden/>
          </w:rPr>
          <w:t>7</w:t>
        </w:r>
        <w:r>
          <w:rPr>
            <w:webHidden/>
          </w:rPr>
          <w:fldChar w:fldCharType="end"/>
        </w:r>
      </w:hyperlink>
    </w:p>
    <w:p w14:paraId="00DE2052" w14:textId="77777777" w:rsidR="00833450" w:rsidRDefault="00833450" w:rsidP="00833450">
      <w:pPr>
        <w:pStyle w:val="TDC1"/>
        <w:spacing w:line="276" w:lineRule="auto"/>
        <w:rPr>
          <w:kern w:val="2"/>
          <w:sz w:val="24"/>
          <w:szCs w:val="24"/>
          <w:lang w:eastAsia="es-PE"/>
          <w14:ligatures w14:val="standardContextual"/>
        </w:rPr>
      </w:pPr>
      <w:hyperlink w:anchor="_Toc235003966" w:history="1">
        <w:r>
          <w:rPr>
            <w:rStyle w:val="Hipervnculo"/>
            <w:rFonts w:cs="Arial"/>
          </w:rPr>
          <w:t>VI.</w:t>
        </w:r>
        <w:r>
          <w:rPr>
            <w:kern w:val="2"/>
            <w:sz w:val="24"/>
            <w:szCs w:val="24"/>
            <w:lang w:eastAsia="es-PE"/>
            <w14:ligatures w14:val="standardContextual"/>
          </w:rPr>
          <w:tab/>
        </w:r>
        <w:r>
          <w:rPr>
            <w:rStyle w:val="Hipervnculo"/>
            <w:rFonts w:cs="Arial"/>
            <w:bCs/>
          </w:rPr>
          <w:t>DISPOSICIONES ESPECÍFICAS</w:t>
        </w:r>
        <w:r>
          <w:rPr>
            <w:webHidden/>
          </w:rPr>
          <w:tab/>
        </w:r>
        <w:r>
          <w:rPr>
            <w:webHidden/>
          </w:rPr>
          <w:fldChar w:fldCharType="begin"/>
        </w:r>
        <w:r>
          <w:rPr>
            <w:webHidden/>
          </w:rPr>
          <w:instrText xml:space="preserve"> PAGEREF _Toc235003966 \h </w:instrText>
        </w:r>
        <w:r>
          <w:rPr>
            <w:webHidden/>
          </w:rPr>
        </w:r>
        <w:r>
          <w:rPr>
            <w:webHidden/>
          </w:rPr>
          <w:fldChar w:fldCharType="separate"/>
        </w:r>
        <w:r>
          <w:rPr>
            <w:webHidden/>
          </w:rPr>
          <w:t>10</w:t>
        </w:r>
        <w:r>
          <w:rPr>
            <w:webHidden/>
          </w:rPr>
          <w:fldChar w:fldCharType="end"/>
        </w:r>
      </w:hyperlink>
    </w:p>
    <w:p w14:paraId="648A90FA" w14:textId="77777777" w:rsidR="00833450" w:rsidRDefault="00833450" w:rsidP="00833450">
      <w:pPr>
        <w:pStyle w:val="TDC1"/>
        <w:spacing w:line="276" w:lineRule="auto"/>
        <w:rPr>
          <w:kern w:val="2"/>
          <w:sz w:val="24"/>
          <w:szCs w:val="24"/>
          <w:lang w:eastAsia="es-PE"/>
          <w14:ligatures w14:val="standardContextual"/>
        </w:rPr>
      </w:pPr>
      <w:hyperlink w:anchor="_Toc235003967" w:history="1">
        <w:r>
          <w:rPr>
            <w:rStyle w:val="Hipervnculo"/>
            <w:rFonts w:cs="Arial"/>
          </w:rPr>
          <w:t>VII.</w:t>
        </w:r>
        <w:r>
          <w:rPr>
            <w:kern w:val="2"/>
            <w:sz w:val="24"/>
            <w:szCs w:val="24"/>
            <w:lang w:eastAsia="es-PE"/>
            <w14:ligatures w14:val="standardContextual"/>
          </w:rPr>
          <w:tab/>
        </w:r>
        <w:r>
          <w:rPr>
            <w:rStyle w:val="Hipervnculo"/>
            <w:rFonts w:cs="Arial"/>
            <w:bCs/>
          </w:rPr>
          <w:t>DISPOSICIONES FINALES</w:t>
        </w:r>
        <w:r>
          <w:rPr>
            <w:webHidden/>
          </w:rPr>
          <w:tab/>
        </w:r>
        <w:r>
          <w:rPr>
            <w:webHidden/>
          </w:rPr>
          <w:fldChar w:fldCharType="begin"/>
        </w:r>
        <w:r>
          <w:rPr>
            <w:webHidden/>
          </w:rPr>
          <w:instrText xml:space="preserve"> PAGEREF _Toc235003967 \h </w:instrText>
        </w:r>
        <w:r>
          <w:rPr>
            <w:webHidden/>
          </w:rPr>
        </w:r>
        <w:r>
          <w:rPr>
            <w:webHidden/>
          </w:rPr>
          <w:fldChar w:fldCharType="separate"/>
        </w:r>
        <w:r>
          <w:rPr>
            <w:webHidden/>
          </w:rPr>
          <w:t>21</w:t>
        </w:r>
        <w:r>
          <w:rPr>
            <w:webHidden/>
          </w:rPr>
          <w:fldChar w:fldCharType="end"/>
        </w:r>
      </w:hyperlink>
    </w:p>
    <w:p w14:paraId="32E8A096" w14:textId="77777777" w:rsidR="00833450" w:rsidRDefault="00833450" w:rsidP="00833450">
      <w:pPr>
        <w:pStyle w:val="TDC1"/>
        <w:spacing w:line="276" w:lineRule="auto"/>
        <w:rPr>
          <w:kern w:val="2"/>
          <w:sz w:val="24"/>
          <w:szCs w:val="24"/>
          <w:lang w:eastAsia="es-PE"/>
          <w14:ligatures w14:val="standardContextual"/>
        </w:rPr>
      </w:pPr>
      <w:hyperlink w:anchor="_Toc235003968" w:history="1">
        <w:r>
          <w:rPr>
            <w:rStyle w:val="Hipervnculo"/>
            <w:rFonts w:cs="Arial"/>
          </w:rPr>
          <w:t>VIII.</w:t>
        </w:r>
        <w:r>
          <w:rPr>
            <w:kern w:val="2"/>
            <w:sz w:val="24"/>
            <w:szCs w:val="24"/>
            <w:lang w:eastAsia="es-PE"/>
            <w14:ligatures w14:val="standardContextual"/>
          </w:rPr>
          <w:tab/>
        </w:r>
        <w:r>
          <w:rPr>
            <w:rStyle w:val="Hipervnculo"/>
            <w:rFonts w:cs="Arial"/>
            <w:bCs/>
          </w:rPr>
          <w:t>ANEXOS</w:t>
        </w:r>
        <w:r>
          <w:rPr>
            <w:webHidden/>
          </w:rPr>
          <w:tab/>
        </w:r>
        <w:r>
          <w:rPr>
            <w:webHidden/>
          </w:rPr>
          <w:fldChar w:fldCharType="begin"/>
        </w:r>
        <w:r>
          <w:rPr>
            <w:webHidden/>
          </w:rPr>
          <w:instrText xml:space="preserve"> PAGEREF _Toc235003968 \h </w:instrText>
        </w:r>
        <w:r>
          <w:rPr>
            <w:webHidden/>
          </w:rPr>
        </w:r>
        <w:r>
          <w:rPr>
            <w:webHidden/>
          </w:rPr>
          <w:fldChar w:fldCharType="separate"/>
        </w:r>
        <w:r>
          <w:rPr>
            <w:webHidden/>
          </w:rPr>
          <w:t>22</w:t>
        </w:r>
        <w:r>
          <w:rPr>
            <w:webHidden/>
          </w:rPr>
          <w:fldChar w:fldCharType="end"/>
        </w:r>
      </w:hyperlink>
    </w:p>
    <w:p w14:paraId="216570A9" w14:textId="77777777" w:rsidR="0060099A" w:rsidRPr="00863A18" w:rsidRDefault="0060099A" w:rsidP="00833450">
      <w:pPr>
        <w:spacing w:before="120" w:after="0" w:line="276" w:lineRule="auto"/>
        <w:rPr>
          <w:rFonts w:ascii="Arial" w:hAnsi="Arial" w:cs="Arial"/>
          <w:b/>
          <w:bCs/>
        </w:rPr>
      </w:pPr>
      <w:r>
        <w:rPr>
          <w:rFonts w:ascii="Arial" w:hAnsi="Arial" w:cs="Arial"/>
          <w:b/>
          <w:bCs/>
        </w:rPr>
        <w:fldChar w:fldCharType="end"/>
      </w:r>
    </w:p>
    <w:p w14:paraId="4B9FD8E3" w14:textId="77777777" w:rsidR="0060099A" w:rsidRPr="00863A18" w:rsidRDefault="0060099A" w:rsidP="00833450">
      <w:pPr>
        <w:spacing w:after="0" w:line="276" w:lineRule="auto"/>
        <w:rPr>
          <w:rFonts w:ascii="Arial" w:hAnsi="Arial" w:cs="Arial"/>
          <w:b/>
          <w:bCs/>
        </w:rPr>
      </w:pPr>
      <w:r>
        <w:rPr>
          <w:rFonts w:ascii="Arial" w:hAnsi="Arial" w:cs="Arial"/>
          <w:b/>
          <w:bCs/>
        </w:rPr>
        <w:br w:type="page"/>
      </w:r>
    </w:p>
    <w:p w14:paraId="4E505FF8"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SIGLAS</w:t>
      </w:r>
    </w:p>
    <w:p w14:paraId="7C7E8F5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CGTD: Comité de Gobierno y Transformación Digital</w:t>
      </w:r>
    </w:p>
    <w:p w14:paraId="1E4D420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CND: Centro Nacional de Datos</w:t>
      </w:r>
    </w:p>
    <w:p w14:paraId="14EA456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EIA: Evaluación de Impacto Algorítmico</w:t>
      </w:r>
    </w:p>
    <w:p w14:paraId="7A766CB7"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ENGD: Estrategia Nacional de Gobierno de Datos</w:t>
      </w:r>
    </w:p>
    <w:p w14:paraId="2C35ADE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ENIA: Estrategia Nacional de Inteligencia Artificial</w:t>
      </w:r>
    </w:p>
    <w:p w14:paraId="225E4A4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GA: Gerencia de Arquitectura</w:t>
      </w:r>
    </w:p>
    <w:p w14:paraId="1654057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GSI: Gerencia de Seguridad de la Información</w:t>
      </w:r>
    </w:p>
    <w:p w14:paraId="3063971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INALI: Intendencia Nacional de Asesoría Legal Interna</w:t>
      </w:r>
    </w:p>
    <w:p w14:paraId="77A8A299"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INRH: Intendencia Nacional de Recursos Humanos</w:t>
      </w:r>
    </w:p>
    <w:p w14:paraId="1B72C5D7"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INSI: Intendencia Nacional de Sistemas de Información</w:t>
      </w:r>
    </w:p>
    <w:p w14:paraId="1D1C7F2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LLM: Modelo de lenguaje a gran escala (Large Language Model)</w:t>
      </w:r>
    </w:p>
    <w:p w14:paraId="6945ED67" w14:textId="77777777" w:rsidR="00C733EA" w:rsidRDefault="00C733EA">
      <w:pPr>
        <w:pStyle w:val="Prrafodelista"/>
        <w:numPr>
          <w:ilvl w:val="0"/>
          <w:numId w:val="18"/>
        </w:numPr>
        <w:spacing w:line="276" w:lineRule="auto"/>
        <w:rPr>
          <w:b w:val="0"/>
          <w:bCs w:val="0"/>
          <w:color w:val="000000"/>
        </w:rPr>
      </w:pPr>
      <w:r>
        <w:rPr>
          <w:b w:val="0"/>
          <w:bCs w:val="0"/>
          <w:color w:val="000000"/>
        </w:rPr>
        <w:t>METDONI: Metodología para la formulación, aprobación y control de los documentos normativos institucionales</w:t>
      </w:r>
    </w:p>
    <w:p w14:paraId="79BEB4D7" w14:textId="5EE47D4B" w:rsidR="00BA798A" w:rsidRPr="00C733EA" w:rsidRDefault="00BA798A">
      <w:pPr>
        <w:pStyle w:val="Prrafodelista"/>
        <w:numPr>
          <w:ilvl w:val="0"/>
          <w:numId w:val="18"/>
        </w:numPr>
        <w:spacing w:line="276" w:lineRule="auto"/>
        <w:rPr>
          <w:b w:val="0"/>
          <w:bCs w:val="0"/>
          <w:color w:val="000000"/>
        </w:rPr>
      </w:pPr>
      <w:r w:rsidRPr="00BA798A">
        <w:rPr>
          <w:b w:val="0"/>
          <w:bCs w:val="0"/>
          <w:color w:val="000000"/>
          <w:highlight w:val="lightGray"/>
        </w:rPr>
        <w:t>METGEP: Metodología para la Gestión por Procesos</w:t>
      </w:r>
    </w:p>
    <w:p w14:paraId="3AB16F2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MLOps: Operaciones de aprendizaje automático (Machine Learning Operations)</w:t>
      </w:r>
    </w:p>
    <w:p w14:paraId="4401B968"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NTP: Norma Técnica Peruana</w:t>
      </w:r>
    </w:p>
    <w:p w14:paraId="113291E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ODP: Oficial de Datos Personales</w:t>
      </w:r>
    </w:p>
    <w:p w14:paraId="5C1399C3"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OGD: Oficial de Gobierno de Datos</w:t>
      </w:r>
    </w:p>
    <w:p w14:paraId="76FEC80B"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OIA: Oficial de Inteligencia Artificial</w:t>
      </w:r>
    </w:p>
    <w:p w14:paraId="274D5804"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OII: Oficina de Integridad Institucional</w:t>
      </w:r>
    </w:p>
    <w:p w14:paraId="5D365B68"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OIPPI: Oficina de Integración de Programas y Proyectos Institucionales</w:t>
      </w:r>
    </w:p>
    <w:p w14:paraId="095D8957"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OSCD: Oficial de Seguridad y Confianza Digital</w:t>
      </w:r>
    </w:p>
    <w:p w14:paraId="646A78F0" w14:textId="77777777" w:rsidR="00C733EA" w:rsidRPr="00C733EA" w:rsidRDefault="00C733EA">
      <w:pPr>
        <w:pStyle w:val="Prrafodelista"/>
        <w:numPr>
          <w:ilvl w:val="0"/>
          <w:numId w:val="18"/>
        </w:numPr>
        <w:spacing w:line="276" w:lineRule="auto"/>
        <w:rPr>
          <w:b w:val="0"/>
          <w:bCs w:val="0"/>
          <w:color w:val="000000"/>
          <w:lang w:val="en-US"/>
        </w:rPr>
      </w:pPr>
      <w:r>
        <w:rPr>
          <w:b w:val="0"/>
          <w:bCs w:val="0"/>
          <w:color w:val="000000"/>
          <w:lang w:val="en-US"/>
        </w:rPr>
        <w:t>OWASP: Open Worldwide Application Security Project</w:t>
      </w:r>
    </w:p>
    <w:p w14:paraId="63AE811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PAGD: Plan de Acción de Gobierno de Datos</w:t>
      </w:r>
    </w:p>
    <w:p w14:paraId="389AB9B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PAIA: Plan de Acción de Inteligencia Artificial</w:t>
      </w:r>
    </w:p>
    <w:p w14:paraId="22D2F546"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PDP: Plan de Desarrollo de las Personas</w:t>
      </w:r>
    </w:p>
    <w:p w14:paraId="121851D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PEI: Plan Estratégico Institucional</w:t>
      </w:r>
    </w:p>
    <w:p w14:paraId="4A07EBD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PGD: Plan de Gobierno Digital</w:t>
      </w:r>
    </w:p>
    <w:p w14:paraId="2CF0397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PNSSP: Plataforma Nacional de Software Público Peruano</w:t>
      </w:r>
    </w:p>
    <w:p w14:paraId="16D8EB83"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RBAC: Control de acceso basado en roles (Role-Based Access Control)</w:t>
      </w:r>
    </w:p>
    <w:p w14:paraId="1ACFC84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RLIA: Reglamento de la Ley N.° 31814 (D.S. N.° 115-2025-PCM)</w:t>
      </w:r>
    </w:p>
    <w:p w14:paraId="3043DEE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ROF: Reglamento de Organización y Funciones</w:t>
      </w:r>
    </w:p>
    <w:p w14:paraId="36CC29B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SaaS: Software como servicio (Software as a Service)</w:t>
      </w:r>
    </w:p>
    <w:p w14:paraId="51689EA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SBIA: Sistema Basado en Inteligencia Artificial</w:t>
      </w:r>
    </w:p>
    <w:p w14:paraId="359C4D35" w14:textId="77777777" w:rsidR="00C733EA" w:rsidRDefault="00C733EA">
      <w:pPr>
        <w:pStyle w:val="Prrafodelista"/>
        <w:numPr>
          <w:ilvl w:val="0"/>
          <w:numId w:val="18"/>
        </w:numPr>
        <w:spacing w:line="276" w:lineRule="auto"/>
        <w:rPr>
          <w:b w:val="0"/>
          <w:bCs w:val="0"/>
          <w:color w:val="000000"/>
        </w:rPr>
      </w:pPr>
      <w:r>
        <w:rPr>
          <w:b w:val="0"/>
          <w:bCs w:val="0"/>
          <w:color w:val="000000"/>
        </w:rPr>
        <w:t>SGIA: Sistema de Gestión de Inteligencia Artificial</w:t>
      </w:r>
    </w:p>
    <w:p w14:paraId="484AB57B" w14:textId="77777777" w:rsidR="00DC2B05" w:rsidRPr="00DC2B05" w:rsidRDefault="00DC2B05">
      <w:pPr>
        <w:pStyle w:val="Prrafodelista"/>
        <w:numPr>
          <w:ilvl w:val="0"/>
          <w:numId w:val="18"/>
        </w:numPr>
        <w:spacing w:line="276" w:lineRule="auto"/>
        <w:rPr>
          <w:b w:val="0"/>
          <w:bCs w:val="0"/>
          <w:color w:val="000000"/>
          <w:highlight w:val="yellow"/>
        </w:rPr>
      </w:pPr>
      <w:r>
        <w:rPr>
          <w:b w:val="0"/>
          <w:bCs w:val="0"/>
          <w:color w:val="000000"/>
          <w:highlight w:val="yellow"/>
        </w:rPr>
        <w:t>SGSI: Sistema de Gestión de Seguridad de la Información</w:t>
      </w:r>
    </w:p>
    <w:p w14:paraId="7521179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SGTD: Secretaría de Gobierno y Transformación Digital de la PCM</w:t>
      </w:r>
    </w:p>
    <w:p w14:paraId="1193930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SN: Superintendencia Nacional</w:t>
      </w:r>
    </w:p>
    <w:p w14:paraId="657CB8AD"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SUNAT: Superintendencia Nacional de Aduanas y de Administración Tributaria</w:t>
      </w:r>
    </w:p>
    <w:p w14:paraId="7CC5C113" w14:textId="77777777" w:rsidR="00ED2DC8" w:rsidRPr="00923C59" w:rsidRDefault="00ED2DC8" w:rsidP="00B23382">
      <w:pPr>
        <w:spacing w:line="276" w:lineRule="auto"/>
        <w:rPr>
          <w:rFonts w:ascii="Arial" w:eastAsia="Arial" w:hAnsi="Arial" w:cs="Arial"/>
          <w:color w:val="000000"/>
        </w:rPr>
      </w:pPr>
      <w:r>
        <w:rPr>
          <w:rFonts w:ascii="Arial" w:hAnsi="Arial" w:cs="Arial"/>
          <w:b/>
          <w:bCs/>
          <w:color w:val="000000"/>
        </w:rPr>
        <w:br w:type="page"/>
      </w:r>
    </w:p>
    <w:p w14:paraId="498CFC40" w14:textId="77777777" w:rsidR="00863A18" w:rsidRPr="00923C59" w:rsidRDefault="00863A18" w:rsidP="00B23382">
      <w:pPr>
        <w:pStyle w:val="Ttulo1"/>
        <w:spacing w:line="276" w:lineRule="auto"/>
        <w:rPr>
          <w:rFonts w:cs="Arial"/>
          <w:szCs w:val="22"/>
        </w:rPr>
      </w:pPr>
      <w:bookmarkStart w:id="1" w:name="_Toc235003961"/>
      <w:r>
        <w:rPr>
          <w:rFonts w:cs="Arial"/>
          <w:bCs/>
          <w:color w:val="000000"/>
          <w:szCs w:val="22"/>
        </w:rPr>
        <w:lastRenderedPageBreak/>
        <w:t>OBJETIVO</w:t>
      </w:r>
      <w:bookmarkEnd w:id="1"/>
    </w:p>
    <w:p w14:paraId="40B5F0F3" w14:textId="77777777" w:rsidR="0018147B" w:rsidRDefault="00000000">
      <w:pPr>
        <w:spacing w:after="60" w:line="276" w:lineRule="auto"/>
        <w:jc w:val="both"/>
        <w:rPr>
          <w:rFonts w:ascii="Arial" w:hAnsi="Arial" w:cs="Arial"/>
        </w:rPr>
      </w:pPr>
      <w:r>
        <w:rPr>
          <w:rFonts w:ascii="Arial" w:hAnsi="Arial" w:cs="Arial"/>
          <w:highlight w:val="yellow"/>
        </w:rPr>
        <w:t>Establecer las disposiciones para el gobierno, la gestión del ciclo de vida y el uso responsable de los Sistemas Basados en Inteligencia Artificial (SBIA) en la SUNAT, precisando los compromisos establecidos en la Política de Uso Seguro, Responsable y Ético de los SBIA y tomando como marco de referencia la NTP-ISO/IEC 42001:2025, para garantizar su alineamiento con la estrategia institucional, el cumplimiento del marco normativo vigente, la protección de los derechos de los administrados, la reserva tributaria y la seguridad de la información.</w:t>
      </w:r>
    </w:p>
    <w:p w14:paraId="1EE981FB" w14:textId="77777777" w:rsidR="00863A18" w:rsidRPr="00923C59" w:rsidRDefault="00863A18" w:rsidP="00B23382">
      <w:pPr>
        <w:pStyle w:val="Ttulo1"/>
        <w:spacing w:line="276" w:lineRule="auto"/>
        <w:rPr>
          <w:rFonts w:cs="Arial"/>
          <w:szCs w:val="22"/>
        </w:rPr>
      </w:pPr>
      <w:bookmarkStart w:id="2" w:name="_Toc235003962"/>
      <w:r>
        <w:rPr>
          <w:rFonts w:cs="Arial"/>
          <w:bCs/>
          <w:color w:val="000000"/>
          <w:szCs w:val="22"/>
        </w:rPr>
        <w:t>ALCANCE</w:t>
      </w:r>
      <w:bookmarkEnd w:id="2"/>
    </w:p>
    <w:p w14:paraId="7F2C3CA4" w14:textId="68109912" w:rsidR="0018147B" w:rsidRPr="00D16977" w:rsidRDefault="00AE3DBA">
      <w:pPr>
        <w:spacing w:after="60" w:line="276" w:lineRule="auto"/>
        <w:jc w:val="both"/>
        <w:rPr>
          <w:rFonts w:ascii="Arial" w:eastAsia="Arial" w:hAnsi="Arial" w:cs="Arial"/>
          <w:color w:val="EE0000"/>
        </w:rPr>
      </w:pPr>
      <w:r>
        <w:rPr>
          <w:rFonts w:ascii="Arial" w:eastAsia="Arial" w:hAnsi="Arial" w:cs="Arial"/>
          <w:color w:val="000000"/>
          <w:highlight w:val="yellow"/>
        </w:rPr>
        <w:t xml:space="preserve">Las disposiciones de la presente directiva son de cumplimiento obligatorio para todas las unidades de organización de la SUNAT que desarrollen, adquieran, implementen, operen, supervisen o utilicen SBIA. </w:t>
      </w:r>
      <w:r w:rsidR="00DF04A0" w:rsidRPr="00DF04A0">
        <w:rPr>
          <w:rFonts w:ascii="Arial" w:hAnsi="Arial" w:cs="Arial"/>
          <w:color w:val="000000"/>
          <w:highlight w:val="lightGray"/>
        </w:rPr>
        <w:t>Se exceptúa de su alcance al Órgano de Control Institucional, que se rige por las disposiciones del Sistema Nacional de Control</w:t>
      </w:r>
      <w:r w:rsidR="00DF04A0" w:rsidRPr="00DF04A0">
        <w:rPr>
          <w:rFonts w:ascii="Arial" w:hAnsi="Arial" w:cs="Arial"/>
          <w:color w:val="000000"/>
          <w:highlight w:val="lightGray"/>
        </w:rPr>
        <w:t>.</w:t>
      </w:r>
    </w:p>
    <w:p w14:paraId="5F1F6433" w14:textId="77777777" w:rsidR="00D83EE0" w:rsidRPr="00D83EE0" w:rsidRDefault="00D83EE0" w:rsidP="00B23382">
      <w:pPr>
        <w:spacing w:after="60" w:line="276" w:lineRule="auto"/>
        <w:jc w:val="both"/>
        <w:rPr>
          <w:rFonts w:ascii="Arial" w:eastAsia="Arial" w:hAnsi="Arial" w:cs="Arial"/>
          <w:color w:val="000000"/>
        </w:rPr>
      </w:pPr>
      <w:r>
        <w:rPr>
          <w:rFonts w:ascii="Arial" w:eastAsia="Arial" w:hAnsi="Arial" w:cs="Arial"/>
          <w:color w:val="000000"/>
        </w:rPr>
        <w:t>La directiva aplica a los tres enfoques de SBIA:</w:t>
      </w:r>
    </w:p>
    <w:p w14:paraId="5253E5D9"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A: SBIA de terceros desplegados en infraestructura ajena al control de la SUNAT, utilizados como servicio (SaaS) bajo sus términos de uso, destinados a procesos administrativos.</w:t>
      </w:r>
    </w:p>
    <w:p w14:paraId="77A59031"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B: SBIA desarrollados por terceros y desplegados en infraestructura bajo control de la SUNAT.</w:t>
      </w:r>
    </w:p>
    <w:p w14:paraId="2599AA41" w14:textId="77777777" w:rsidR="0033689D" w:rsidRPr="00D83EE0" w:rsidRDefault="00D83EE0">
      <w:pPr>
        <w:pStyle w:val="Prrafodelista"/>
        <w:numPr>
          <w:ilvl w:val="0"/>
          <w:numId w:val="19"/>
        </w:numPr>
        <w:spacing w:after="60" w:line="276" w:lineRule="auto"/>
        <w:rPr>
          <w:b w:val="0"/>
          <w:bCs w:val="0"/>
        </w:rPr>
      </w:pPr>
      <w:r>
        <w:rPr>
          <w:b w:val="0"/>
          <w:bCs w:val="0"/>
          <w:color w:val="000000"/>
        </w:rPr>
        <w:t>Enfoque C: SBIA desarrollados internamente o por terceros bajo especificaciones a medida, desplegados en infraestructura bajo control de la SUNAT e integrados con los sistemas internos.</w:t>
      </w:r>
    </w:p>
    <w:p w14:paraId="13253C3C" w14:textId="77777777" w:rsidR="00863A18" w:rsidRPr="00923C59" w:rsidRDefault="00863A18" w:rsidP="00B23382">
      <w:pPr>
        <w:pStyle w:val="Ttulo1"/>
        <w:spacing w:line="276" w:lineRule="auto"/>
        <w:rPr>
          <w:rFonts w:cs="Arial"/>
          <w:szCs w:val="22"/>
        </w:rPr>
      </w:pPr>
      <w:bookmarkStart w:id="3" w:name="_Toc235003963"/>
      <w:r>
        <w:rPr>
          <w:rFonts w:cs="Arial"/>
          <w:bCs/>
          <w:color w:val="000000"/>
          <w:szCs w:val="22"/>
        </w:rPr>
        <w:t>BASE NORMATIVA</w:t>
      </w:r>
      <w:bookmarkEnd w:id="3"/>
    </w:p>
    <w:p w14:paraId="16847B41"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31814 (05/07/2023), Ley que promueve el uso de la inteligencia artificial en favor del desarrollo económico y social del país.</w:t>
      </w:r>
    </w:p>
    <w:p w14:paraId="73791B9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115-2025-PCM (09/09/2025), que aprueba el Reglamento de la Ley N.° 31814 (RLIA).</w:t>
      </w:r>
    </w:p>
    <w:p w14:paraId="08246BCA"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Ministerial N.° 152-2026-PCM (29/04/2026), que aprueba la Estrategia Nacional de Inteligencia Artificial (ENIA) 2026-2030.</w:t>
      </w:r>
    </w:p>
    <w:p w14:paraId="7847E8A4"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Resolución Ministerial N.° 049-2026-PCM, que aprueba la Estrategia Nacional de Gobierno de Datos 2026-2030 (ENGD).</w:t>
      </w:r>
    </w:p>
    <w:p w14:paraId="79B4C79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Legislativo N.° 1412 (13/09/2018), que aprueba la Ley de Gobierno Digital, y sus modificatorias.</w:t>
      </w:r>
    </w:p>
    <w:p w14:paraId="275B1C45"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de Urgencia N.° 006-2020 (08/01/2020), que crea el Sistema Nacional de Transformación Digital.</w:t>
      </w:r>
    </w:p>
    <w:p w14:paraId="6D584021"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029-2021-PCM (18/02/2021), que aprueba el Reglamento del Decreto Legislativo N.° 1412, y su modificatoria aprobada por Decreto Supremo N.° 098-2025-PCM.</w:t>
      </w:r>
    </w:p>
    <w:p w14:paraId="6DA1339D"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133-2013-EF (22/06/2013), que aprueba el Texto Único Ordenado del Código Tributario; en particular el artículo 85 sobre reserva tributaria.</w:t>
      </w:r>
    </w:p>
    <w:p w14:paraId="5C45F12A"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lastRenderedPageBreak/>
        <w:t>Decreto Legislativo N.° 1053 (27/06/2008), que aprueba la Ley General de Aduanas, y su Reglamento; en lo relativo a la confidencialidad de la información aduanera.</w:t>
      </w:r>
    </w:p>
    <w:p w14:paraId="0241BE1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29733 (03/07/2011), Ley de Protección de Datos Personales, y su Reglamento aprobado por Decreto Supremo N.° 003-2013-JUS (22/03/2013).</w:t>
      </w:r>
    </w:p>
    <w:p w14:paraId="2F262610"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highlight w:val="yellow"/>
        </w:rPr>
        <w:t>Resolución Directoral N.° 000013-2025-INACAL/DN (30/06/2025)</w:t>
      </w:r>
      <w:r>
        <w:rPr>
          <w:b w:val="0"/>
          <w:bCs w:val="0"/>
          <w:color w:val="000000"/>
        </w:rPr>
        <w:t>, que aprueba la Norma Técnica Peruana NTP-ISO/IEC 42001:2025, Tecnología de la información — Inteligencia artificial — Sistema de gestión.</w:t>
      </w:r>
    </w:p>
    <w:p w14:paraId="658F0602"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27001 vigente, Sistemas de gestión de seguridad de la información — Requisitos.</w:t>
      </w:r>
    </w:p>
    <w:p w14:paraId="3AE67589"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27002 vigente, Controles de seguridad de la información</w:t>
      </w:r>
      <w:r>
        <w:rPr>
          <w:b w:val="0"/>
          <w:bCs w:val="0"/>
          <w:color w:val="000000"/>
        </w:rPr>
        <w:t>.</w:t>
      </w:r>
    </w:p>
    <w:p w14:paraId="3637D772"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27005 vigente, Orientación sobre la gestión de los riesgos de seguridad de la información.</w:t>
      </w:r>
    </w:p>
    <w:p w14:paraId="1750FF9E"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 31000 vigente, Gestión del riesgo</w:t>
      </w:r>
      <w:r>
        <w:rPr>
          <w:b w:val="0"/>
          <w:bCs w:val="0"/>
          <w:color w:val="000000"/>
        </w:rPr>
        <w:t>.</w:t>
      </w:r>
    </w:p>
    <w:p w14:paraId="196B03A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040-2023-EF (24/03/2023), que aprueba la Sección Primera del Reglamento de Organización y Funciones (ROF) de la SUNAT, y su modificatoria.</w:t>
      </w:r>
    </w:p>
    <w:p w14:paraId="3977DA6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000081-2023/SUNAT (28/04/2023), que aprueba la Sección Segunda del ROF de la SUNAT, y su modificatoria.</w:t>
      </w:r>
    </w:p>
    <w:p w14:paraId="4603BA14"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084-2019/SUNAT (12/04/2019), que conforma el Comité de Gobierno Digital, hoy Comité de Gobierno y Transformación Digital CGTD de la SUNAT, modificada por las Resoluciones de Superintendencia N.° 142-2019/SUNAT y N.° 000187-2024/SUNAT.</w:t>
      </w:r>
    </w:p>
    <w:p w14:paraId="18065E5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000125-2024/SUNAT, que designa al Oficial de Gobierno de Datos de la SUNAT.</w:t>
      </w:r>
    </w:p>
    <w:p w14:paraId="475F127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000114-2025/SUNAT (08/04/2025), que designa al Oficial de Seguridad y Confianza Digital de la SUNAT.</w:t>
      </w:r>
    </w:p>
    <w:p w14:paraId="255442AA"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Resolución de Superintendencia Nacional Adjunta de Administración y Finanzas N.° 000197-2022-SUNAT/800000 (27/10/2022), que designa al Oficial de Datos Personales de la SUNAT.</w:t>
      </w:r>
    </w:p>
    <w:p w14:paraId="2C8E28A9" w14:textId="77777777" w:rsidR="0080359D" w:rsidRPr="004F49BB" w:rsidRDefault="0080359D">
      <w:pPr>
        <w:pStyle w:val="Prrafodelista"/>
        <w:numPr>
          <w:ilvl w:val="1"/>
          <w:numId w:val="20"/>
        </w:numPr>
        <w:spacing w:line="276" w:lineRule="auto"/>
        <w:ind w:left="709" w:hanging="567"/>
        <w:rPr>
          <w:b w:val="0"/>
          <w:bCs w:val="0"/>
          <w:color w:val="000000"/>
        </w:rPr>
      </w:pPr>
      <w:r>
        <w:rPr>
          <w:b w:val="0"/>
          <w:bCs w:val="0"/>
          <w:color w:val="000000"/>
        </w:rPr>
        <w:t xml:space="preserve">Resolución de Superintendencia </w:t>
      </w:r>
      <w:r>
        <w:rPr>
          <w:b w:val="0"/>
          <w:bCs w:val="0"/>
          <w:color w:val="EE0000"/>
        </w:rPr>
        <w:t>N.° [XXX]-</w:t>
      </w:r>
      <w:r>
        <w:rPr>
          <w:b w:val="0"/>
          <w:bCs w:val="0"/>
          <w:color w:val="000000"/>
        </w:rPr>
        <w:t xml:space="preserve">2026/SUNAT, que aprueba la </w:t>
      </w:r>
      <w:r>
        <w:rPr>
          <w:b w:val="0"/>
          <w:bCs w:val="0"/>
          <w:highlight w:val="yellow"/>
        </w:rPr>
        <w:t>Política de Uso Seguro, Responsable y Ético de los SBIA</w:t>
      </w:r>
      <w:r>
        <w:rPr>
          <w:b w:val="0"/>
          <w:bCs w:val="0"/>
          <w:color w:val="000000"/>
        </w:rPr>
        <w:t xml:space="preserve"> en la SUNAT.</w:t>
      </w:r>
    </w:p>
    <w:p w14:paraId="64BA9802" w14:textId="77777777" w:rsidR="0080359D" w:rsidRDefault="0080359D">
      <w:pPr>
        <w:pStyle w:val="Prrafodelista"/>
        <w:numPr>
          <w:ilvl w:val="1"/>
          <w:numId w:val="20"/>
        </w:numPr>
        <w:spacing w:line="276" w:lineRule="auto"/>
        <w:ind w:left="709" w:hanging="567"/>
        <w:rPr>
          <w:b w:val="0"/>
          <w:bCs w:val="0"/>
          <w:color w:val="000000"/>
        </w:rPr>
      </w:pPr>
      <w:r>
        <w:rPr>
          <w:b w:val="0"/>
          <w:bCs w:val="0"/>
          <w:color w:val="000000"/>
        </w:rPr>
        <w:t>Resolución de Oficina N.° 001-2024-SUNAT/1V0000, que aprueba la Metodología para la formulación, aprobación y control de los Documentos Normativos Institucionales (METDONI) Versión 1.4.</w:t>
      </w:r>
    </w:p>
    <w:p w14:paraId="4208E65D" w14:textId="34BB98F2" w:rsidR="00BA798A" w:rsidRPr="00BA798A" w:rsidRDefault="00BA798A">
      <w:pPr>
        <w:pStyle w:val="Prrafodelista"/>
        <w:numPr>
          <w:ilvl w:val="1"/>
          <w:numId w:val="20"/>
        </w:numPr>
        <w:spacing w:line="276" w:lineRule="auto"/>
        <w:ind w:left="709" w:hanging="567"/>
        <w:rPr>
          <w:b w:val="0"/>
          <w:bCs w:val="0"/>
          <w:color w:val="000000"/>
          <w:highlight w:val="lightGray"/>
        </w:rPr>
      </w:pPr>
      <w:r w:rsidRPr="00BA798A">
        <w:rPr>
          <w:b w:val="0"/>
          <w:bCs w:val="0"/>
          <w:color w:val="000000"/>
          <w:highlight w:val="lightGray"/>
        </w:rPr>
        <w:t>Resolución de Oficina N.° 000002-2023-SUNAT/1V0000, que aprueba la Metodología para la Gestión por Procesos (METGEP) Versión 5.</w:t>
      </w:r>
    </w:p>
    <w:p w14:paraId="656682E7" w14:textId="77777777" w:rsidR="00863A18" w:rsidRPr="00923C59" w:rsidRDefault="0033689D" w:rsidP="00B23382">
      <w:pPr>
        <w:spacing w:line="276" w:lineRule="auto"/>
        <w:rPr>
          <w:rFonts w:ascii="Arial" w:hAnsi="Arial" w:cs="Arial"/>
        </w:rPr>
      </w:pPr>
      <w:r>
        <w:rPr>
          <w:rFonts w:ascii="Arial" w:hAnsi="Arial" w:cs="Arial"/>
        </w:rPr>
        <w:br w:type="page"/>
      </w:r>
    </w:p>
    <w:p w14:paraId="28B8D3A0" w14:textId="77777777" w:rsidR="00863A18" w:rsidRPr="00923C59" w:rsidRDefault="00863A18" w:rsidP="00B23382">
      <w:pPr>
        <w:pStyle w:val="Ttulo1"/>
        <w:spacing w:line="276" w:lineRule="auto"/>
        <w:rPr>
          <w:rFonts w:cs="Arial"/>
          <w:szCs w:val="22"/>
        </w:rPr>
      </w:pPr>
      <w:bookmarkStart w:id="4" w:name="_Toc235003964"/>
      <w:r>
        <w:rPr>
          <w:rFonts w:cs="Arial"/>
          <w:bCs/>
          <w:color w:val="000000"/>
          <w:szCs w:val="22"/>
        </w:rPr>
        <w:lastRenderedPageBreak/>
        <w:t>GLOSARIO DE TÉRMINOS</w:t>
      </w:r>
      <w:bookmarkEnd w:id="4"/>
    </w:p>
    <w:p w14:paraId="559B76B1" w14:textId="77777777" w:rsidR="0033689D" w:rsidRPr="00923C59" w:rsidRDefault="0033689D" w:rsidP="00B23382">
      <w:pPr>
        <w:spacing w:line="276" w:lineRule="auto"/>
        <w:jc w:val="both"/>
        <w:rPr>
          <w:rFonts w:ascii="Arial" w:hAnsi="Arial" w:cs="Arial"/>
        </w:rPr>
      </w:pPr>
      <w:r>
        <w:rPr>
          <w:rFonts w:ascii="Arial" w:eastAsia="Arial" w:hAnsi="Arial" w:cs="Arial"/>
          <w:color w:val="000000"/>
        </w:rPr>
        <w:t>Las definiciones contenidas en el presente glosario se sustentan en estándares internacionales, normas técnicas peruanas y el marco normativo vigente.</w:t>
      </w:r>
    </w:p>
    <w:p w14:paraId="48254EC6" w14:textId="77777777" w:rsidR="0033689D" w:rsidRPr="00923C59" w:rsidRDefault="0033689D">
      <w:pPr>
        <w:pStyle w:val="Prrafodelista"/>
        <w:numPr>
          <w:ilvl w:val="0"/>
          <w:numId w:val="8"/>
        </w:numPr>
        <w:spacing w:line="276" w:lineRule="auto"/>
        <w:rPr>
          <w:b w:val="0"/>
          <w:bCs w:val="0"/>
          <w:vanish/>
          <w:color w:val="000000"/>
        </w:rPr>
      </w:pPr>
    </w:p>
    <w:p w14:paraId="5A4BE00A"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Algoritmo</w:t>
      </w:r>
      <w:r>
        <w:rPr>
          <w:b w:val="0"/>
          <w:bCs w:val="0"/>
          <w:color w:val="000000"/>
        </w:rPr>
        <w:t>: Secuencia de instrucciones y conjunto ordenado de pasos que, al aplicarse a una representación de datos, permite su transformación sistemática para resolver un problema o tomar una decisión. [ISO/IEC 22989:2022, sección 3.1.3]</w:t>
      </w:r>
    </w:p>
    <w:p w14:paraId="2BDEBEDE"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Ciclo de vida de un SBIA</w:t>
      </w:r>
      <w:r>
        <w:rPr>
          <w:b w:val="0"/>
          <w:bCs w:val="0"/>
          <w:color w:val="000000"/>
        </w:rPr>
        <w:t>: Conjunto de etapas secuenciales e iterativas desde la ideación hasta el retiro de un SBIA, incluyendo evaluación de viabilidad, diseño, desarrollo o adquisición, pruebas, despliegue, operación, monitoreo y desactivación. [ISO/IEC 22989:2022, sección 3.2.1; NTP-ISO/IEC 42001:2025, cláusula 6.1]</w:t>
      </w:r>
    </w:p>
    <w:p w14:paraId="1B4D1F52"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Comisión de Gobierno de IA:</w:t>
      </w:r>
      <w:r>
        <w:rPr>
          <w:b w:val="0"/>
          <w:bCs w:val="0"/>
          <w:color w:val="000000"/>
        </w:rPr>
        <w:t xml:space="preserve"> Órgano colegiado de apoyo al CGTD encargado de preparar las evaluaciones, informes y propuestas en materia de gobierno de IA, coordinado por un Coordinador designado por el CGTD.</w:t>
      </w:r>
    </w:p>
    <w:p w14:paraId="78B74A01"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Controles de contención (Guardrails):</w:t>
      </w:r>
      <w:r>
        <w:rPr>
          <w:b w:val="0"/>
          <w:bCs w:val="0"/>
          <w:color w:val="000000"/>
        </w:rPr>
        <w:t xml:space="preserve"> Conjunto de controles, reglas y mecanismos técnicos para limitar, filtrar o validar las entradas y salidas de un SBIA, previniendo comportamientos no deseados. [NIST AI 600-1 (2024), sección 2.6; OWASP (2025), Top 10 for LLM Applications]</w:t>
      </w:r>
    </w:p>
    <w:p w14:paraId="2A9EF19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Drift (Deriva):</w:t>
      </w:r>
      <w:r>
        <w:rPr>
          <w:b w:val="0"/>
          <w:bCs w:val="0"/>
          <w:color w:val="000000"/>
        </w:rPr>
        <w:t xml:space="preserve"> Cambio gradual en el rendimiento, distribución de datos o comportamiento de un modelo de IA a lo largo del tiempo que afecta la precisión y fiabilidad de sus resultados. [ISO/IEC TR 5469:2024, sección 3.1.12]</w:t>
      </w:r>
    </w:p>
    <w:p w14:paraId="2EA5FC0D"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highlight w:val="cyan"/>
        </w:rPr>
        <w:t xml:space="preserve">Etiquetado visible: </w:t>
      </w:r>
      <w:r>
        <w:rPr>
          <w:b w:val="0"/>
          <w:bCs w:val="0"/>
          <w:color w:val="000000"/>
          <w:highlight w:val="cyan"/>
        </w:rPr>
        <w:t>Indicación clara y perceptible que informa al usuario, con antelación, que el producto, servicio o contenido se opera con base en inteligencia artificial y que permite comprender de manera general sus principales capacidades y limitaciones.</w:t>
      </w:r>
    </w:p>
    <w:p w14:paraId="30C3574A" w14:textId="77777777" w:rsidR="00E67A73"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Evaluación de Impacto Algorítmico (EIA): </w:t>
      </w:r>
      <w:r>
        <w:rPr>
          <w:b w:val="0"/>
          <w:bCs w:val="0"/>
          <w:color w:val="000000"/>
          <w:highlight w:val="yellow"/>
        </w:rPr>
        <w:t>Proceso sistemático y documentado para identificar, analizar y evaluar los riesgos y efectos potenciales que un SBIA genera sobre los derechos de los administrados, previo a su desarrollo o implementación. [D.S. N.° 115-2025-PCM, Art. 30; NTP-ISO/IEC 42001:2025, cláusula 6.1.2]</w:t>
      </w:r>
    </w:p>
    <w:p w14:paraId="50F8802F"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Explicabilidad:</w:t>
      </w:r>
      <w:r>
        <w:rPr>
          <w:b w:val="0"/>
          <w:bCs w:val="0"/>
          <w:color w:val="000000"/>
        </w:rPr>
        <w:t xml:space="preserve"> Capacidad de un SBIA de proporcionar información comprensible sobre los factores, la lógica y los datos que influyeron en un resultado o decisión. [ISO/IEC 22989:2022, sección 3.4.9; D.S. N.° 115-2025-PCM, Art. 25.3]</w:t>
      </w:r>
    </w:p>
    <w:p w14:paraId="685A5DCB"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Hito de aprobación:</w:t>
      </w:r>
      <w:r>
        <w:rPr>
          <w:b w:val="0"/>
          <w:bCs w:val="0"/>
          <w:color w:val="000000"/>
        </w:rPr>
        <w:t xml:space="preserve"> Punto de control formal dentro del ciclo de vida de un SBIA en el cual se evalúa el cumplimiento de criterios predefinidos antes de autorizar el avance a la siguiente etapa.</w:t>
      </w:r>
    </w:p>
    <w:p w14:paraId="6DCD22F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Human-in-the-loop:</w:t>
      </w:r>
      <w:r>
        <w:rPr>
          <w:b w:val="0"/>
          <w:bCs w:val="0"/>
          <w:color w:val="000000"/>
        </w:rPr>
        <w:t xml:space="preserve"> Modelo de supervisión donde un ser humano interviene activamente en cada decisión del SBIA antes de su ejecución. [D.S. N.° 115-2025-PCM, Art. 28.11; ISO/IEC 22989:2022, sección 3.4.3]</w:t>
      </w:r>
    </w:p>
    <w:p w14:paraId="71C33EFC"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Human-on-the-loop:</w:t>
      </w:r>
      <w:r>
        <w:rPr>
          <w:b w:val="0"/>
          <w:bCs w:val="0"/>
          <w:color w:val="000000"/>
        </w:rPr>
        <w:t xml:space="preserve"> Modelo de supervisión donde un ser humano monitorea las operaciones del SBIA y puede intervenir ante anomalías. [D.S. N.° 115-2025-PCM, Art. 28.11; ISO/IEC 22989:2022, sección 3.4.4]</w:t>
      </w:r>
    </w:p>
    <w:p w14:paraId="6A54410E"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Human-in-command:</w:t>
      </w:r>
      <w:r>
        <w:rPr>
          <w:b w:val="0"/>
          <w:bCs w:val="0"/>
          <w:color w:val="000000"/>
        </w:rPr>
        <w:t xml:space="preserve"> Modelo de supervisión donde un ser humano mantiene el control general sobre la actividad del SBIA, con capacidad de definir límites </w:t>
      </w:r>
      <w:r>
        <w:rPr>
          <w:b w:val="0"/>
          <w:bCs w:val="0"/>
          <w:color w:val="000000"/>
        </w:rPr>
        <w:lastRenderedPageBreak/>
        <w:t>operativos y desactivarlo. [D.S. N.° 115-2025-PCM, Art. 28.11; Comisión Europea (2019), ALTAI]</w:t>
      </w:r>
    </w:p>
    <w:p w14:paraId="3D50AB80" w14:textId="77777777" w:rsidR="00E67A73"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Inventario Institucional de SBIA: </w:t>
      </w:r>
      <w:r>
        <w:rPr>
          <w:b w:val="0"/>
          <w:bCs w:val="0"/>
          <w:color w:val="000000"/>
          <w:highlight w:val="yellow"/>
        </w:rPr>
        <w:t xml:space="preserve">Registro centralizado y actualizado de todos los SBIA desarrollados, adquiridos, implementados u operados por la SUNAT o por terceros en su nombre. Constituye el instrumento por el cual la SUNAT determina el alcance de su SGIA y documenta los recursos de sus SBIA. </w:t>
      </w:r>
    </w:p>
    <w:p w14:paraId="5AD0192D"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LLM (Large Language Model):</w:t>
      </w:r>
      <w:r>
        <w:rPr>
          <w:b w:val="0"/>
          <w:bCs w:val="0"/>
          <w:color w:val="000000"/>
        </w:rPr>
        <w:t xml:space="preserve"> Modelo de lenguaje a gran escala basado en redes neuronales profundas, entrenado con grandes volúmenes de texto para realizar tareas de procesamiento de lenguaje natural. [NIST AI 600-1 (2024), sección 1.1]</w:t>
      </w:r>
    </w:p>
    <w:p w14:paraId="7C62BEB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MLOps:</w:t>
      </w:r>
      <w:r>
        <w:rPr>
          <w:b w:val="0"/>
          <w:bCs w:val="0"/>
          <w:color w:val="000000"/>
        </w:rPr>
        <w:t xml:space="preserve"> Conjunto de prácticas que combinan Machine Learning, DevOps e ingeniería de datos para estandarizar el ciclo de vida de modelos en producción. [Kreuzberger et al. (2023)]</w:t>
      </w:r>
    </w:p>
    <w:p w14:paraId="733B7DD8" w14:textId="77777777" w:rsidR="00594919" w:rsidRDefault="00000000">
      <w:pPr>
        <w:pStyle w:val="Prrafodelista"/>
        <w:numPr>
          <w:ilvl w:val="1"/>
          <w:numId w:val="8"/>
        </w:numPr>
        <w:spacing w:after="0" w:line="276" w:lineRule="auto"/>
        <w:ind w:left="709" w:hanging="709"/>
        <w:rPr>
          <w:b w:val="0"/>
          <w:bCs w:val="0"/>
          <w:color w:val="000000"/>
        </w:rPr>
      </w:pPr>
      <w:r>
        <w:rPr>
          <w:color w:val="000000"/>
          <w:highlight w:val="cyan"/>
        </w:rPr>
        <w:t xml:space="preserve">Niveles de riesgo de un SBIA: </w:t>
      </w:r>
      <w:r w:rsidRPr="00E87621">
        <w:rPr>
          <w:b w:val="0"/>
          <w:bCs w:val="0"/>
          <w:color w:val="000000"/>
          <w:highlight w:val="cyan"/>
        </w:rPr>
        <w:t>Categorías en que se clasifica un SBIA según el riesgo que genera su uso, conforme al RLIA: uso indebido (prohibido, artículo 23), riesgo alto (sujeto a requisitos reforzados, artículo 24) y riesgo aceptable (artículo 22.2), subdividido internamente en aceptable-limitado y aceptable-mínimo para fines de supervisión. [D.S. N.° 115-2025-PCM, artículos 22 a 24]</w:t>
      </w:r>
    </w:p>
    <w:p w14:paraId="4C57C1FA" w14:textId="1EE06D1E" w:rsidR="0033689D" w:rsidRPr="00BA798A" w:rsidRDefault="0033689D">
      <w:pPr>
        <w:pStyle w:val="Prrafodelista"/>
        <w:numPr>
          <w:ilvl w:val="1"/>
          <w:numId w:val="8"/>
        </w:numPr>
        <w:spacing w:after="0" w:line="276" w:lineRule="auto"/>
        <w:ind w:left="709" w:hanging="709"/>
        <w:rPr>
          <w:b w:val="0"/>
          <w:bCs w:val="0"/>
          <w:color w:val="000000"/>
          <w:highlight w:val="lightGray"/>
        </w:rPr>
      </w:pPr>
      <w:r w:rsidRPr="00BA798A">
        <w:rPr>
          <w:color w:val="000000"/>
          <w:highlight w:val="lightGray"/>
        </w:rPr>
        <w:t>Propietario de</w:t>
      </w:r>
      <w:r w:rsidR="00BA798A">
        <w:rPr>
          <w:color w:val="000000"/>
          <w:highlight w:val="lightGray"/>
        </w:rPr>
        <w:t>l</w:t>
      </w:r>
      <w:r w:rsidRPr="00BA798A">
        <w:rPr>
          <w:color w:val="000000"/>
          <w:highlight w:val="lightGray"/>
        </w:rPr>
        <w:t xml:space="preserve"> caso de uso: </w:t>
      </w:r>
      <w:r w:rsidR="00BA798A" w:rsidRPr="00BA798A">
        <w:rPr>
          <w:b w:val="0"/>
          <w:bCs w:val="0"/>
          <w:color w:val="000000"/>
          <w:highlight w:val="lightGray"/>
        </w:rPr>
        <w:t>Unidad de organización que, de acuerdo con sus competencias y funciones en el ROF, es el dueño del proceso en el que se identifica la necesidad a atender mediante un SBIA y que asume la responsabilidad funcional sobre sus resultados durante todo su ciclo de vida. Se distingue del custodio técnico, a cargo de la arquitectura y la operación del SBIA. [METGEP, numeral 4.9; METDONI, numeral 4.6; NTP-ISO/IEC 42001:2025, cláusula 5.3]</w:t>
      </w:r>
    </w:p>
    <w:p w14:paraId="5DB96D0F"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Red Teaming:</w:t>
      </w:r>
      <w:r>
        <w:rPr>
          <w:b w:val="0"/>
          <w:bCs w:val="0"/>
          <w:color w:val="000000"/>
        </w:rPr>
        <w:t xml:space="preserve"> Práctica de seguridad ofensiva que simula ataques adversarios contra un SBIA para identificar vulnerabilidades previo a su despliegue. [NIST AI 600-1 (2024), sección 2.7; OWASP (2025)]</w:t>
      </w:r>
    </w:p>
    <w:p w14:paraId="2D99BF1A"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Reserva tributaria:</w:t>
      </w:r>
      <w:r>
        <w:rPr>
          <w:b w:val="0"/>
          <w:bCs w:val="0"/>
          <w:color w:val="000000"/>
        </w:rPr>
        <w:t xml:space="preserve"> Carácter reservado de la información vinculada a los contribuyentes, conforme al artículo 85 del TUO del Código Tributario. [D.S. N.° 133-2013-EF, Art. 85]</w:t>
      </w:r>
    </w:p>
    <w:p w14:paraId="7E451C7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Riesgo de IA:</w:t>
      </w:r>
      <w:r>
        <w:rPr>
          <w:b w:val="0"/>
          <w:bCs w:val="0"/>
          <w:color w:val="000000"/>
        </w:rPr>
        <w:t xml:space="preserve"> Combinación de la probabilidad de ocurrencia de daños derivados del uso de un SBIA y la severidad de esos daños. [ISO/IEC 23894:2023, sección 3.1]</w:t>
      </w:r>
    </w:p>
    <w:p w14:paraId="3C60E648"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SBIA (Sistema Basado en Inteligencia Artificial):</w:t>
      </w:r>
      <w:r>
        <w:rPr>
          <w:b w:val="0"/>
          <w:bCs w:val="0"/>
          <w:color w:val="000000"/>
        </w:rPr>
        <w:t xml:space="preserve"> Sistema informático diseñado para operar con distintos niveles de autonomía que infiere, a partir de los datos que recibe, cómo generar resultados que influyan en entornos reales o virtuales. [Ley N.° 31814, Art. 2; D.S. N.° 115-2025-PCM, Art. 6(j)]</w:t>
      </w:r>
    </w:p>
    <w:p w14:paraId="6C6F19B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Sesgo algorítmico:</w:t>
      </w:r>
      <w:r>
        <w:rPr>
          <w:b w:val="0"/>
          <w:bCs w:val="0"/>
          <w:color w:val="000000"/>
        </w:rPr>
        <w:t xml:space="preserve"> Error sistemático en los resultados de un SBIA que produce resultados injustos o discriminatorios hacia determinados grupos de personas. [ISO/IEC 22989:2022, sección 3.1.5; NIST SP 1270 (2022)]</w:t>
      </w:r>
    </w:p>
    <w:p w14:paraId="7D3A7F35" w14:textId="77777777" w:rsidR="0018147B"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Sistema de Gestión de IA (SGIA): </w:t>
      </w:r>
      <w:r>
        <w:rPr>
          <w:b w:val="0"/>
          <w:bCs w:val="0"/>
          <w:color w:val="000000"/>
          <w:highlight w:val="yellow"/>
        </w:rPr>
        <w:t>Conjunto de elementos interrelacionados o que interactúan de una organización para establecer políticas y objetivos, así como los procesos para lograrlos, aplicados a sus actividades relativas a la inteligencia artificial. [Adaptado de la NTP-ISO/IEC 42001:2025, cláusulas 3.4 y 4.4]</w:t>
      </w:r>
    </w:p>
    <w:p w14:paraId="214340BB" w14:textId="77777777" w:rsidR="00E87621" w:rsidRPr="00E87621" w:rsidRDefault="00E87621" w:rsidP="00E87621">
      <w:pPr>
        <w:spacing w:after="0" w:line="276" w:lineRule="auto"/>
        <w:rPr>
          <w:color w:val="000000"/>
        </w:rPr>
      </w:pPr>
    </w:p>
    <w:p w14:paraId="482F0CAA" w14:textId="77777777" w:rsidR="00863A18" w:rsidRPr="00923C59" w:rsidRDefault="00863A18" w:rsidP="00B23382">
      <w:pPr>
        <w:pStyle w:val="Ttulo1"/>
        <w:spacing w:line="276" w:lineRule="auto"/>
        <w:rPr>
          <w:rFonts w:cs="Arial"/>
          <w:szCs w:val="22"/>
        </w:rPr>
      </w:pPr>
      <w:bookmarkStart w:id="5" w:name="_Toc235003965"/>
      <w:r>
        <w:rPr>
          <w:rFonts w:cs="Arial"/>
          <w:bCs/>
          <w:color w:val="000000"/>
          <w:szCs w:val="22"/>
        </w:rPr>
        <w:lastRenderedPageBreak/>
        <w:t>DISPOSICIONES GENERALES</w:t>
      </w:r>
      <w:bookmarkEnd w:id="5"/>
    </w:p>
    <w:p w14:paraId="5005ABB3" w14:textId="77777777" w:rsidR="00A46D47" w:rsidRPr="00923C59" w:rsidRDefault="00A46D47" w:rsidP="00A46D47">
      <w:pPr>
        <w:pStyle w:val="SubtituloDONI"/>
        <w:spacing w:line="276" w:lineRule="auto"/>
        <w:ind w:left="851"/>
      </w:pPr>
      <w:r>
        <w:t>5.1</w:t>
      </w:r>
      <w:r>
        <w:tab/>
        <w:t>De los principios para el Gobierno de IA</w:t>
      </w:r>
    </w:p>
    <w:p w14:paraId="0498D8FC" w14:textId="77777777" w:rsidR="00A46D47" w:rsidRPr="00923C59"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rPr>
        <w:t>5.1.1</w:t>
      </w:r>
      <w:r>
        <w:rPr>
          <w:rFonts w:ascii="Arial" w:eastAsia="Arial" w:hAnsi="Arial" w:cs="Arial"/>
          <w:color w:val="000000"/>
        </w:rPr>
        <w:tab/>
      </w:r>
      <w:r>
        <w:rPr>
          <w:rFonts w:ascii="Arial" w:eastAsia="Arial" w:hAnsi="Arial" w:cs="Arial"/>
          <w:color w:val="000000"/>
          <w:highlight w:val="yellow"/>
        </w:rPr>
        <w:t xml:space="preserve">El Gobierno de IA </w:t>
      </w:r>
      <w:r>
        <w:rPr>
          <w:rFonts w:ascii="Arial" w:eastAsia="Arial" w:hAnsi="Arial" w:cs="Arial"/>
          <w:highlight w:val="yellow"/>
        </w:rPr>
        <w:t xml:space="preserve">se alinea a </w:t>
      </w:r>
      <w:r>
        <w:rPr>
          <w:rFonts w:ascii="Arial" w:eastAsia="Arial" w:hAnsi="Arial" w:cs="Arial"/>
          <w:color w:val="000000"/>
          <w:highlight w:val="yellow"/>
        </w:rPr>
        <w:t xml:space="preserve">los principios de la </w:t>
      </w:r>
      <w:r>
        <w:rPr>
          <w:rFonts w:ascii="Arial" w:hAnsi="Arial" w:cs="Arial"/>
          <w:highlight w:val="yellow"/>
        </w:rPr>
        <w:t>Política de Uso Seguro, Responsable y Ético de los SBIA</w:t>
      </w:r>
      <w:r>
        <w:rPr>
          <w:rFonts w:ascii="Arial" w:eastAsia="Arial" w:hAnsi="Arial" w:cs="Arial"/>
          <w:color w:val="000000"/>
        </w:rPr>
        <w:t>, concordantes con el artículo 7 del RLIA y la ENIA.</w:t>
      </w:r>
    </w:p>
    <w:p w14:paraId="4380E229" w14:textId="77777777" w:rsidR="00025734" w:rsidRPr="00025734" w:rsidRDefault="00A46D47" w:rsidP="00A46D47">
      <w:pPr>
        <w:spacing w:after="60" w:line="276" w:lineRule="auto"/>
        <w:ind w:left="1276" w:hanging="720"/>
        <w:jc w:val="both"/>
        <w:rPr>
          <w:rFonts w:ascii="Arial" w:hAnsi="Arial" w:cs="Arial"/>
          <w:color w:val="000000"/>
          <w:highlight w:val="lightGray"/>
        </w:rPr>
      </w:pPr>
      <w:r w:rsidRPr="00025734">
        <w:rPr>
          <w:rFonts w:ascii="Arial" w:hAnsi="Arial" w:cs="Arial"/>
          <w:color w:val="000000"/>
          <w:highlight w:val="lightGray"/>
        </w:rPr>
        <w:t>5.1.2</w:t>
      </w:r>
      <w:r w:rsidRPr="00025734">
        <w:rPr>
          <w:rFonts w:ascii="Arial" w:hAnsi="Arial" w:cs="Arial"/>
          <w:color w:val="000000"/>
          <w:highlight w:val="lightGray"/>
        </w:rPr>
        <w:tab/>
      </w:r>
      <w:r w:rsidR="00025734" w:rsidRPr="00025734">
        <w:rPr>
          <w:rFonts w:ascii="Arial" w:hAnsi="Arial" w:cs="Arial"/>
          <w:color w:val="000000"/>
          <w:highlight w:val="lightGray"/>
        </w:rPr>
        <w:t>Los derechos fundamentales son intangibles y constituyen el límite de toda actuación administrativa. Por ello, cuando exista la posibilidad de que la operación de un SBIA pueda afectar los derechos fundamentales de las personas, se priorizará siempre la protección de éstos últimos.</w:t>
      </w:r>
      <w:r w:rsidR="00025734" w:rsidRPr="00025734">
        <w:rPr>
          <w:rFonts w:ascii="Arial" w:hAnsi="Arial" w:cs="Arial"/>
          <w:color w:val="000000"/>
          <w:highlight w:val="lightGray"/>
        </w:rPr>
        <w:t xml:space="preserve"> </w:t>
      </w:r>
    </w:p>
    <w:p w14:paraId="1313E70C" w14:textId="38C0476D"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5.1.3</w:t>
      </w:r>
      <w:r>
        <w:rPr>
          <w:rFonts w:ascii="Arial" w:eastAsia="Arial" w:hAnsi="Arial" w:cs="Arial"/>
          <w:color w:val="000000"/>
          <w:highlight w:val="yellow"/>
        </w:rPr>
        <w:tab/>
        <w:t>La reserva tributaria constituye criterio determinante en la evaluación de riesgo de todo SBIA que procese información de contribuyentes.</w:t>
      </w:r>
    </w:p>
    <w:p w14:paraId="7D937A6B" w14:textId="77777777" w:rsidR="00A46D47" w:rsidRPr="00A46D47" w:rsidRDefault="00A46D47" w:rsidP="00A46D47">
      <w:pPr>
        <w:pStyle w:val="Prrafodelista"/>
        <w:spacing w:before="0" w:after="60" w:line="276" w:lineRule="auto"/>
        <w:ind w:left="1276"/>
        <w:rPr>
          <w:b w:val="0"/>
          <w:bCs w:val="0"/>
        </w:rPr>
      </w:pPr>
      <w:r>
        <w:rPr>
          <w:b w:val="0"/>
          <w:bCs w:val="0"/>
          <w:color w:val="000000"/>
          <w:highlight w:val="cyan"/>
        </w:rPr>
        <w:t>5.1.4</w:t>
      </w:r>
      <w:r>
        <w:rPr>
          <w:b w:val="0"/>
          <w:bCs w:val="0"/>
          <w:color w:val="000000"/>
          <w:highlight w:val="cyan"/>
        </w:rPr>
        <w:tab/>
        <w:t>El Gobierno de IA se orienta a la generación de valor público. Toda iniciativa de SBIA responde a un problema real y relevante de la administración y produce un beneficio verificable para las personas o para la gestión institucional; no se promueven usos de IA sin una necesidad que los justifique.</w:t>
      </w:r>
    </w:p>
    <w:p w14:paraId="1DCC4A84" w14:textId="77777777"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5.1.5</w:t>
      </w:r>
      <w:r>
        <w:rPr>
          <w:rFonts w:ascii="Arial" w:eastAsia="Arial" w:hAnsi="Arial" w:cs="Arial"/>
          <w:color w:val="000000"/>
          <w:highlight w:val="yellow"/>
        </w:rPr>
        <w:tab/>
        <w:t>El Gobierno de IA aplica el principio de proporcionalidad: las exigencias de evaluación, supervisión y control se gradúan según el nivel de riesgo del SBIA. La proporcionalidad no exime del cumplimiento de los controles y obligaciones que el Reglamento y la presente directiva establecen con carácter obligatorio para cada categoría de riesgo.</w:t>
      </w:r>
    </w:p>
    <w:p w14:paraId="4153764E" w14:textId="77777777" w:rsidR="00863A18" w:rsidRPr="00923C59" w:rsidRDefault="00863A18" w:rsidP="00B23382">
      <w:pPr>
        <w:pStyle w:val="SubtituloDONI"/>
        <w:spacing w:line="276" w:lineRule="auto"/>
        <w:ind w:left="851"/>
      </w:pPr>
      <w:r>
        <w:t>5.2</w:t>
      </w:r>
      <w:r>
        <w:tab/>
        <w:t>De la función de Gobierno de Inteligencia Artificial</w:t>
      </w:r>
    </w:p>
    <w:p w14:paraId="39EE6BB3" w14:textId="77777777" w:rsidR="00ED3F92" w:rsidRDefault="00ED3F92"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5.2.1</w:t>
      </w:r>
      <w:r>
        <w:rPr>
          <w:rFonts w:ascii="Arial" w:eastAsia="Arial" w:hAnsi="Arial" w:cs="Arial"/>
          <w:color w:val="000000"/>
        </w:rPr>
        <w:tab/>
        <w:t>El Comité de Gobierno y Transformación Digital (CGTD) ejerce la función de gobierno de inteligencia artificial en la SUNAT, conforme al numeral 9.3 del artículo 9 del RLIA, aprobado por Decreto Supremo N.° 115-2025-PCM, y a la Resolución de Superintendencia N.° 084-2019/SUNAT que lo conforma, modificada por las Resoluciones de Superintendencia N.° 142-2019/SUNAT y N.° 000187-2024/SUNAT. El CGTD lidera, dirige, evalúa y supervisa los proyectos de sistemas basados en IA estratégicos para la entidad.</w:t>
      </w:r>
    </w:p>
    <w:p w14:paraId="0AA671F2" w14:textId="77777777" w:rsidR="00E34945" w:rsidRDefault="00E34945" w:rsidP="00E34945">
      <w:pPr>
        <w:pStyle w:val="SubtituloDONI"/>
        <w:spacing w:line="276" w:lineRule="auto"/>
        <w:ind w:left="851"/>
      </w:pPr>
      <w:r>
        <w:t>5.3</w:t>
      </w:r>
      <w:r>
        <w:tab/>
        <w:t>De la Comisión de Gobierno de IA</w:t>
      </w:r>
    </w:p>
    <w:p w14:paraId="2E6E0212" w14:textId="77777777" w:rsidR="0018222F" w:rsidRDefault="002102ED"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5.3.1</w:t>
      </w:r>
      <w:r>
        <w:rPr>
          <w:rFonts w:ascii="Arial" w:eastAsia="Arial" w:hAnsi="Arial" w:cs="Arial"/>
          <w:color w:val="000000"/>
        </w:rPr>
        <w:tab/>
        <w:t>Para el ejercicio efectivo de la función de gobierno de IA, el CGTD cuenta con la Comisión de Gobierno de IA, instancia de apoyo encargada de preparar las evaluaciones, los informes y las propuestas que el CGTD requiera para la toma de decisiones en materia de IA. La Comisión de Gobierno de IA es coordinada por un Coordinador designado por el CGTD.</w:t>
      </w:r>
    </w:p>
    <w:p w14:paraId="4D522602" w14:textId="77777777" w:rsidR="0018222F" w:rsidRDefault="002102ED"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5.3.2</w:t>
      </w:r>
      <w:r>
        <w:rPr>
          <w:rFonts w:ascii="Arial" w:eastAsia="Arial" w:hAnsi="Arial" w:cs="Arial"/>
          <w:color w:val="000000"/>
        </w:rPr>
        <w:tab/>
        <w:t>Son funciones de la Comisión de Gobierno de IA, en apoyo al CGTD:</w:t>
      </w:r>
    </w:p>
    <w:p w14:paraId="638900C7" w14:textId="77777777" w:rsidR="0018222F" w:rsidRDefault="002102ED" w:rsidP="003204D8">
      <w:pPr>
        <w:pStyle w:val="Prrafodelista"/>
        <w:numPr>
          <w:ilvl w:val="0"/>
          <w:numId w:val="9"/>
        </w:numPr>
        <w:spacing w:before="0" w:after="60" w:line="276" w:lineRule="auto"/>
        <w:ind w:left="1701" w:hanging="425"/>
        <w:rPr>
          <w:b w:val="0"/>
          <w:bCs w:val="0"/>
          <w:color w:val="000000"/>
        </w:rPr>
      </w:pPr>
      <w:r>
        <w:rPr>
          <w:b w:val="0"/>
          <w:bCs w:val="0"/>
          <w:color w:val="000000"/>
        </w:rPr>
        <w:t>Preparar la propuesta de estrategia institucional de IA y sus actualizaciones, para aprobación del CGTD.</w:t>
      </w:r>
    </w:p>
    <w:p w14:paraId="19EFBB45" w14:textId="77777777" w:rsidR="0018222F" w:rsidRDefault="002102ED" w:rsidP="003204D8">
      <w:pPr>
        <w:pStyle w:val="Prrafodelista"/>
        <w:numPr>
          <w:ilvl w:val="0"/>
          <w:numId w:val="9"/>
        </w:numPr>
        <w:spacing w:before="0" w:after="60" w:line="276" w:lineRule="auto"/>
        <w:ind w:left="1701" w:hanging="425"/>
        <w:rPr>
          <w:b w:val="0"/>
          <w:bCs w:val="0"/>
          <w:color w:val="000000"/>
        </w:rPr>
      </w:pPr>
      <w:r>
        <w:rPr>
          <w:b w:val="0"/>
          <w:bCs w:val="0"/>
          <w:color w:val="000000"/>
        </w:rPr>
        <w:t xml:space="preserve">Evaluar los casos de uso de SBIA propuestos por los órganos de línea (generación de valor, viabilidad técnica, legal, ética y operativa, y </w:t>
      </w:r>
      <w:r>
        <w:rPr>
          <w:b w:val="0"/>
          <w:bCs w:val="0"/>
          <w:color w:val="000000"/>
        </w:rPr>
        <w:lastRenderedPageBreak/>
        <w:t>estimación de inversión y costos recurrentes) y elevar al CGTD la recomendación fundamentada de aprobación o no procedencia.</w:t>
      </w:r>
    </w:p>
    <w:p w14:paraId="1CF00BE7" w14:textId="77777777" w:rsidR="0018222F" w:rsidRPr="009E7E49" w:rsidRDefault="002102ED" w:rsidP="003204D8">
      <w:pPr>
        <w:pStyle w:val="Prrafodelista"/>
        <w:numPr>
          <w:ilvl w:val="0"/>
          <w:numId w:val="9"/>
        </w:numPr>
        <w:spacing w:before="0" w:after="60" w:line="276" w:lineRule="auto"/>
        <w:ind w:left="1701" w:hanging="425"/>
        <w:rPr>
          <w:b w:val="0"/>
          <w:bCs w:val="0"/>
          <w:color w:val="EE0000"/>
        </w:rPr>
      </w:pPr>
      <w:r>
        <w:rPr>
          <w:b w:val="0"/>
          <w:bCs w:val="0"/>
          <w:highlight w:val="cyan"/>
        </w:rPr>
        <w:t>Proponer al CGTD la clasificación de riesgo de cada SBIA, previo al inicio del desarrollo o adquisición.</w:t>
      </w:r>
    </w:p>
    <w:p w14:paraId="40055B7C" w14:textId="77777777" w:rsidR="0018222F" w:rsidRPr="00E34945" w:rsidRDefault="002102ED" w:rsidP="003204D8">
      <w:pPr>
        <w:pStyle w:val="Prrafodelista"/>
        <w:numPr>
          <w:ilvl w:val="0"/>
          <w:numId w:val="9"/>
        </w:numPr>
        <w:spacing w:before="0" w:after="60" w:line="276" w:lineRule="auto"/>
        <w:ind w:left="1701" w:hanging="425"/>
        <w:rPr>
          <w:b w:val="0"/>
          <w:bCs w:val="0"/>
          <w:color w:val="EE0000"/>
        </w:rPr>
      </w:pPr>
      <w:r>
        <w:rPr>
          <w:b w:val="0"/>
          <w:bCs w:val="0"/>
          <w:color w:val="000000"/>
          <w:highlight w:val="cyan"/>
        </w:rPr>
        <w:t>Asegurar el cumplimiento del Gobierno de IA en la SUNAT.</w:t>
      </w:r>
    </w:p>
    <w:p w14:paraId="2893713A" w14:textId="77777777" w:rsidR="0018222F" w:rsidRPr="009E7E49" w:rsidRDefault="002102ED" w:rsidP="003204D8">
      <w:pPr>
        <w:pStyle w:val="Prrafodelista"/>
        <w:numPr>
          <w:ilvl w:val="0"/>
          <w:numId w:val="9"/>
        </w:numPr>
        <w:spacing w:before="0" w:after="60" w:line="276" w:lineRule="auto"/>
        <w:ind w:left="1701" w:hanging="425"/>
        <w:rPr>
          <w:b w:val="0"/>
          <w:bCs w:val="0"/>
          <w:color w:val="EE0000"/>
        </w:rPr>
      </w:pPr>
      <w:r>
        <w:rPr>
          <w:b w:val="0"/>
          <w:bCs w:val="0"/>
          <w:highlight w:val="cyan"/>
        </w:rPr>
        <w:t>Coordinar la elaboración de las evaluaciones de impacto algorítmico y elevar sus conclusiones al CGTD.</w:t>
      </w:r>
    </w:p>
    <w:p w14:paraId="3B6B74FE" w14:textId="77777777" w:rsidR="0018222F" w:rsidRDefault="002102ED" w:rsidP="003204D8">
      <w:pPr>
        <w:pStyle w:val="Prrafodelista"/>
        <w:numPr>
          <w:ilvl w:val="0"/>
          <w:numId w:val="9"/>
        </w:numPr>
        <w:spacing w:before="0" w:after="60" w:line="276" w:lineRule="auto"/>
        <w:ind w:left="1701" w:hanging="425"/>
        <w:rPr>
          <w:b w:val="0"/>
          <w:bCs w:val="0"/>
          <w:color w:val="000000"/>
        </w:rPr>
      </w:pPr>
      <w:r>
        <w:rPr>
          <w:b w:val="0"/>
          <w:bCs w:val="0"/>
          <w:color w:val="000000"/>
        </w:rPr>
        <w:t>Administrar el Inventario Institucional de SBIA.</w:t>
      </w:r>
    </w:p>
    <w:p w14:paraId="24741396" w14:textId="77777777" w:rsidR="0018222F" w:rsidRDefault="002102ED" w:rsidP="003204D8">
      <w:pPr>
        <w:pStyle w:val="Prrafodelista"/>
        <w:numPr>
          <w:ilvl w:val="0"/>
          <w:numId w:val="9"/>
        </w:numPr>
        <w:spacing w:before="0" w:after="60" w:line="276" w:lineRule="auto"/>
        <w:ind w:left="1701" w:hanging="425"/>
        <w:rPr>
          <w:b w:val="0"/>
          <w:bCs w:val="0"/>
          <w:color w:val="000000"/>
        </w:rPr>
      </w:pPr>
      <w:r>
        <w:rPr>
          <w:b w:val="0"/>
          <w:bCs w:val="0"/>
          <w:color w:val="000000"/>
        </w:rPr>
        <w:t>Supervisar el cumplimiento de los hitos de aprobación del ciclo de vida de los SBIA y consolidar los informes de monitoreo, auditoría e incidentes para conocimiento del CGTD.</w:t>
      </w:r>
    </w:p>
    <w:p w14:paraId="142016C5" w14:textId="77777777" w:rsidR="0018222F" w:rsidRDefault="002102ED" w:rsidP="003204D8">
      <w:pPr>
        <w:pStyle w:val="Prrafodelista"/>
        <w:numPr>
          <w:ilvl w:val="0"/>
          <w:numId w:val="9"/>
        </w:numPr>
        <w:spacing w:before="0" w:after="60" w:line="276" w:lineRule="auto"/>
        <w:ind w:left="1701" w:hanging="425"/>
        <w:rPr>
          <w:b w:val="0"/>
          <w:bCs w:val="0"/>
          <w:color w:val="000000"/>
        </w:rPr>
      </w:pPr>
      <w:r>
        <w:rPr>
          <w:b w:val="0"/>
          <w:bCs w:val="0"/>
          <w:color w:val="000000"/>
        </w:rPr>
        <w:t>Proponer lineamientos técnicos complementarios en materia de gobierno de IA y coordinar la articulación con la SGTD-PCM.</w:t>
      </w:r>
    </w:p>
    <w:p w14:paraId="2E163CAA" w14:textId="77777777" w:rsidR="0018147B" w:rsidRDefault="00000000" w:rsidP="003204D8">
      <w:pPr>
        <w:pStyle w:val="Prrafodelista"/>
        <w:numPr>
          <w:ilvl w:val="0"/>
          <w:numId w:val="9"/>
        </w:numPr>
        <w:spacing w:before="0" w:after="60" w:line="276" w:lineRule="auto"/>
        <w:ind w:left="1701" w:hanging="425"/>
        <w:rPr>
          <w:b w:val="0"/>
          <w:bCs w:val="0"/>
          <w:color w:val="000000"/>
        </w:rPr>
      </w:pPr>
      <w:r>
        <w:rPr>
          <w:b w:val="0"/>
          <w:bCs w:val="0"/>
          <w:color w:val="000000"/>
          <w:highlight w:val="yellow"/>
        </w:rPr>
        <w:t>Administrar y centralizar la evaluación de los riesgos de los SBIA.</w:t>
      </w:r>
    </w:p>
    <w:p w14:paraId="262208F8" w14:textId="77777777" w:rsidR="00836DA1" w:rsidRDefault="00000000" w:rsidP="00E34945">
      <w:pPr>
        <w:pStyle w:val="Prrafodelista"/>
        <w:numPr>
          <w:ilvl w:val="0"/>
          <w:numId w:val="9"/>
        </w:numPr>
        <w:spacing w:before="0" w:after="60" w:line="276" w:lineRule="auto"/>
        <w:ind w:left="1701" w:hanging="425"/>
        <w:rPr>
          <w:b w:val="0"/>
          <w:bCs w:val="0"/>
          <w:highlight w:val="cyan"/>
        </w:rPr>
      </w:pPr>
      <w:r>
        <w:rPr>
          <w:b w:val="0"/>
          <w:bCs w:val="0"/>
          <w:highlight w:val="cyan"/>
        </w:rPr>
        <w:t>Convocar a otras unidades de organización y a especialistas adicionales según la materia y la complejidad del caso de uso.</w:t>
      </w:r>
    </w:p>
    <w:p w14:paraId="6F4FB7E8" w14:textId="77777777" w:rsidR="00863A18" w:rsidRPr="00923C59" w:rsidRDefault="00863A18" w:rsidP="00B23382">
      <w:pPr>
        <w:pStyle w:val="SubtituloDONI"/>
        <w:spacing w:line="276" w:lineRule="auto"/>
        <w:ind w:left="851"/>
      </w:pPr>
      <w:r>
        <w:t>5.4</w:t>
      </w:r>
      <w:r>
        <w:tab/>
        <w:t>De los roles y responsabilidades</w:t>
      </w:r>
    </w:p>
    <w:p w14:paraId="604F42A1" w14:textId="77777777" w:rsidR="0018147B" w:rsidRDefault="00000000">
      <w:pPr>
        <w:spacing w:line="276" w:lineRule="auto"/>
        <w:ind w:left="851"/>
        <w:jc w:val="both"/>
        <w:rPr>
          <w:rFonts w:ascii="Arial" w:eastAsia="Arial" w:hAnsi="Arial" w:cs="Arial"/>
          <w:color w:val="000000"/>
        </w:rPr>
      </w:pPr>
      <w:r>
        <w:rPr>
          <w:rFonts w:ascii="Arial" w:eastAsia="Arial" w:hAnsi="Arial" w:cs="Arial"/>
          <w:color w:val="000000"/>
          <w:highlight w:val="yellow"/>
        </w:rPr>
        <w:t>Los roles y responsabilidades del Gobierno de IA se asignan tomando como referencia las competencias y funciones establecidas en el ROF vigente, sin duplicarlas ni sustituirlas, y se detallan en el</w:t>
      </w:r>
      <w:r>
        <w:rPr>
          <w:rFonts w:ascii="Arial" w:eastAsia="Arial" w:hAnsi="Arial" w:cs="Arial"/>
          <w:color w:val="000000"/>
          <w:highlight w:val="cyan"/>
        </w:rPr>
        <w:t xml:space="preserve"> cuadro siguiente:</w:t>
      </w:r>
    </w:p>
    <w:tbl>
      <w:tblPr>
        <w:tblW w:w="8080" w:type="dxa"/>
        <w:tblInd w:w="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rsidRPr="00923C59" w14:paraId="57003083" w14:textId="77777777" w:rsidTr="00533A4C">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5BBC045C" w14:textId="77777777" w:rsidR="00B34A74" w:rsidRDefault="00B34A74" w:rsidP="0047575A">
            <w:pPr>
              <w:spacing w:before="20" w:after="20" w:line="276" w:lineRule="auto"/>
              <w:rPr>
                <w:rFonts w:ascii="Arial" w:eastAsia="Arial" w:hAnsi="Arial" w:cs="Arial"/>
                <w:b/>
                <w:bCs/>
              </w:rPr>
            </w:pPr>
            <w:r>
              <w:rPr>
                <w:rFonts w:ascii="Arial" w:eastAsia="Arial" w:hAnsi="Arial" w:cs="Arial"/>
                <w:b/>
                <w:bCs/>
              </w:rPr>
              <w:t>Instancias de Gobierno de IA</w:t>
            </w:r>
          </w:p>
        </w:tc>
      </w:tr>
      <w:tr w:rsidR="00A009CE" w:rsidRPr="00923C59" w14:paraId="3C5EC4C0" w14:textId="77777777" w:rsidTr="00A71D9E">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D51EB6E" w14:textId="77777777" w:rsidR="00A009CE" w:rsidRPr="00923C59" w:rsidRDefault="00A009CE" w:rsidP="00B23382">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AC1ACA3" w14:textId="77777777" w:rsidR="00A009CE" w:rsidRPr="00923C59" w:rsidRDefault="00A009CE" w:rsidP="00B23382">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3089C3E" w14:textId="77777777" w:rsidR="00A009CE" w:rsidRPr="00923C59" w:rsidRDefault="00A009CE" w:rsidP="0047575A">
            <w:pPr>
              <w:spacing w:before="20" w:after="20" w:line="276" w:lineRule="auto"/>
              <w:rPr>
                <w:rFonts w:ascii="Arial" w:hAnsi="Arial" w:cs="Arial"/>
              </w:rPr>
            </w:pPr>
            <w:r>
              <w:rPr>
                <w:rFonts w:ascii="Arial" w:eastAsia="Arial" w:hAnsi="Arial" w:cs="Arial"/>
                <w:b/>
                <w:bCs/>
              </w:rPr>
              <w:t>Responsabilidades</w:t>
            </w:r>
          </w:p>
        </w:tc>
      </w:tr>
      <w:tr w:rsidR="0081311B" w:rsidRPr="00923C59" w14:paraId="46D68E4A"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AEC581" w14:textId="77777777" w:rsidR="0081311B" w:rsidRPr="00923C59" w:rsidRDefault="0081311B" w:rsidP="00B23382">
            <w:pPr>
              <w:spacing w:before="20" w:after="20" w:line="276" w:lineRule="auto"/>
              <w:rPr>
                <w:rFonts w:ascii="Arial" w:hAnsi="Arial" w:cs="Arial"/>
              </w:rPr>
            </w:pPr>
            <w:r>
              <w:rPr>
                <w:rFonts w:ascii="Arial" w:eastAsia="Arial" w:hAnsi="Arial" w:cs="Arial"/>
                <w:b/>
                <w:bCs/>
              </w:rPr>
              <w:t>Alta Dirección</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DDBB1D7" w14:textId="77777777" w:rsidR="0081311B" w:rsidRPr="00923C59" w:rsidRDefault="0081311B" w:rsidP="00A71D9E">
            <w:pPr>
              <w:spacing w:before="20" w:after="20" w:line="276" w:lineRule="auto"/>
              <w:rPr>
                <w:rFonts w:ascii="Arial" w:hAnsi="Arial" w:cs="Arial"/>
              </w:rPr>
            </w:pPr>
            <w:r>
              <w:rPr>
                <w:rFonts w:ascii="Arial" w:eastAsia="Arial" w:hAnsi="Arial" w:cs="Arial"/>
              </w:rPr>
              <w:t>Superintendencia Nacional</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4265FD"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Aprueba la Política y Directivas de IA.</w:t>
            </w:r>
          </w:p>
          <w:p w14:paraId="7E4F6F6D"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Aprueba el Plan de Acción de IA (PAIA), que forma parte del Portafolio de Proyectos del PGD, y asigna los recursos institucionales para su implementación.</w:t>
            </w:r>
          </w:p>
          <w:p w14:paraId="4872A49B"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Conforma la Comisión de Gobierno de IA mediante RS.</w:t>
            </w:r>
          </w:p>
          <w:p w14:paraId="71219976"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Aprueba el informe anual de IA para la SGTD.</w:t>
            </w:r>
          </w:p>
          <w:p w14:paraId="310924D3"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Impulsa la adopción institucional de la inteligencia artificial y aprueba las inversiones asociadas.</w:t>
            </w:r>
          </w:p>
        </w:tc>
      </w:tr>
      <w:tr w:rsidR="0081311B" w:rsidRPr="00923C59" w14:paraId="6406FAD0"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1D8C58" w14:textId="77777777" w:rsidR="0081311B" w:rsidRPr="00923C59" w:rsidRDefault="0081311B" w:rsidP="00B23382">
            <w:pPr>
              <w:spacing w:before="20" w:after="20" w:line="276" w:lineRule="auto"/>
              <w:rPr>
                <w:rFonts w:ascii="Arial" w:hAnsi="Arial" w:cs="Arial"/>
              </w:rPr>
            </w:pPr>
            <w:r>
              <w:rPr>
                <w:rFonts w:ascii="Arial" w:eastAsia="Arial" w:hAnsi="Arial" w:cs="Arial"/>
                <w:b/>
                <w:bCs/>
              </w:rPr>
              <w:t>CGTD (en materia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9DCF2D" w14:textId="77777777" w:rsidR="0081311B" w:rsidRPr="00923C59" w:rsidRDefault="0081311B" w:rsidP="00B23382">
            <w:pPr>
              <w:spacing w:before="20" w:after="20" w:line="276" w:lineRule="auto"/>
              <w:rPr>
                <w:rFonts w:ascii="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21EEED" w14:textId="77777777" w:rsidR="0081311B" w:rsidRPr="00923C59" w:rsidRDefault="0081311B" w:rsidP="0047575A">
            <w:pPr>
              <w:pStyle w:val="Prrafodelista"/>
              <w:numPr>
                <w:ilvl w:val="0"/>
                <w:numId w:val="13"/>
              </w:numPr>
              <w:spacing w:before="20" w:after="20" w:line="276" w:lineRule="auto"/>
              <w:ind w:left="299" w:hanging="283"/>
              <w:jc w:val="left"/>
              <w:rPr>
                <w:b w:val="0"/>
                <w:bCs w:val="0"/>
              </w:rPr>
            </w:pPr>
            <w:r>
              <w:rPr>
                <w:b w:val="0"/>
                <w:bCs w:val="0"/>
              </w:rPr>
              <w:t xml:space="preserve">Lidera, dirige, evalúa y supervisa los proyectos de SBIA estratégicos. </w:t>
            </w:r>
          </w:p>
          <w:p w14:paraId="05D7E46D" w14:textId="77777777" w:rsidR="00E67A73" w:rsidRDefault="00000000" w:rsidP="0047575A">
            <w:pPr>
              <w:pStyle w:val="Prrafodelista"/>
              <w:numPr>
                <w:ilvl w:val="0"/>
                <w:numId w:val="13"/>
              </w:numPr>
              <w:spacing w:before="20" w:after="20" w:line="276" w:lineRule="auto"/>
              <w:ind w:left="299" w:hanging="283"/>
              <w:jc w:val="left"/>
              <w:rPr>
                <w:b w:val="0"/>
                <w:bCs w:val="0"/>
              </w:rPr>
            </w:pPr>
            <w:r>
              <w:rPr>
                <w:b w:val="0"/>
                <w:bCs w:val="0"/>
                <w:highlight w:val="yellow"/>
              </w:rPr>
              <w:lastRenderedPageBreak/>
              <w:t xml:space="preserve">Aprueba la clasificación de riesgo de los SBIA de riesgo alto y de los estratégicos para la entidad, así como los casos de uso y la estrategia de IA. La clasificación de los SBIA de riesgo aceptable la aprueba la Comisión de Gobierno de IA, conforme al numeral 6.2.2. </w:t>
            </w:r>
          </w:p>
          <w:p w14:paraId="4662D368" w14:textId="77777777" w:rsidR="0081311B" w:rsidRPr="00923C59" w:rsidRDefault="0081311B" w:rsidP="0047575A">
            <w:pPr>
              <w:pStyle w:val="Prrafodelista"/>
              <w:numPr>
                <w:ilvl w:val="0"/>
                <w:numId w:val="13"/>
              </w:numPr>
              <w:spacing w:before="20" w:after="20" w:line="276" w:lineRule="auto"/>
              <w:ind w:left="299" w:hanging="283"/>
              <w:jc w:val="left"/>
              <w:rPr>
                <w:b w:val="0"/>
                <w:bCs w:val="0"/>
              </w:rPr>
            </w:pPr>
            <w:r>
              <w:rPr>
                <w:b w:val="0"/>
                <w:bCs w:val="0"/>
              </w:rPr>
              <w:t>Aprueba la EIA de SBIA de riesgo alto.</w:t>
            </w:r>
          </w:p>
          <w:p w14:paraId="58552442" w14:textId="77777777" w:rsidR="0081311B" w:rsidRPr="00923C59" w:rsidRDefault="0081311B" w:rsidP="0047575A">
            <w:pPr>
              <w:pStyle w:val="Prrafodelista"/>
              <w:numPr>
                <w:ilvl w:val="0"/>
                <w:numId w:val="13"/>
              </w:numPr>
              <w:spacing w:before="20" w:after="20" w:line="276" w:lineRule="auto"/>
              <w:ind w:left="299" w:hanging="283"/>
              <w:jc w:val="left"/>
              <w:rPr>
                <w:b w:val="0"/>
                <w:bCs w:val="0"/>
              </w:rPr>
            </w:pPr>
            <w:r>
              <w:rPr>
                <w:b w:val="0"/>
                <w:bCs w:val="0"/>
              </w:rPr>
              <w:t xml:space="preserve">Decide sobre la no procedencia de casos de uso. </w:t>
            </w:r>
          </w:p>
          <w:p w14:paraId="555CCBE5" w14:textId="77777777" w:rsidR="0081311B" w:rsidRPr="00923C59" w:rsidRDefault="0081311B" w:rsidP="0047575A">
            <w:pPr>
              <w:pStyle w:val="Prrafodelista"/>
              <w:numPr>
                <w:ilvl w:val="0"/>
                <w:numId w:val="13"/>
              </w:numPr>
              <w:spacing w:before="20" w:after="20" w:line="276" w:lineRule="auto"/>
              <w:ind w:left="299" w:hanging="283"/>
              <w:jc w:val="left"/>
            </w:pPr>
            <w:r>
              <w:rPr>
                <w:b w:val="0"/>
                <w:bCs w:val="0"/>
              </w:rPr>
              <w:t>Revisa los informes trimestrales de la Comisión de Gobierno de IA.</w:t>
            </w:r>
          </w:p>
        </w:tc>
      </w:tr>
    </w:tbl>
    <w:p w14:paraId="7AD0E99B" w14:textId="77777777" w:rsidR="00B34A74" w:rsidRDefault="00B34A74" w:rsidP="00A46D47">
      <w:pPr>
        <w:pStyle w:val="SubtituloDONI"/>
        <w:spacing w:line="276" w:lineRule="auto"/>
        <w:ind w:left="851"/>
      </w:pPr>
    </w:p>
    <w:tbl>
      <w:tblPr>
        <w:tblW w:w="8080" w:type="dxa"/>
        <w:tblInd w:w="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14:paraId="58843B40" w14:textId="77777777" w:rsidTr="00904C72">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B9EDCAA" w14:textId="77777777" w:rsidR="00B34A74" w:rsidRDefault="00B34A74" w:rsidP="00904C72">
            <w:pPr>
              <w:spacing w:before="20" w:after="20" w:line="276" w:lineRule="auto"/>
              <w:rPr>
                <w:rFonts w:ascii="Arial" w:eastAsia="Arial" w:hAnsi="Arial" w:cs="Arial"/>
                <w:b/>
                <w:bCs/>
              </w:rPr>
            </w:pPr>
            <w:r>
              <w:rPr>
                <w:rFonts w:ascii="Arial" w:eastAsia="Arial" w:hAnsi="Arial" w:cs="Arial"/>
                <w:b/>
                <w:bCs/>
              </w:rPr>
              <w:t>Integrantes de la Comisión de Gobierno de IA</w:t>
            </w:r>
          </w:p>
        </w:tc>
      </w:tr>
      <w:tr w:rsidR="00B34A74" w:rsidRPr="00923C59" w14:paraId="3111FE5B" w14:textId="77777777" w:rsidTr="00904C72">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3E1E9C1" w14:textId="77777777" w:rsidR="00B34A74" w:rsidRPr="00923C59" w:rsidRDefault="00B34A74" w:rsidP="00904C72">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CD17358" w14:textId="77777777" w:rsidR="00B34A74" w:rsidRPr="00923C59" w:rsidRDefault="00B34A74" w:rsidP="00904C72">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A42D5D4" w14:textId="77777777" w:rsidR="00B34A74" w:rsidRPr="00923C59" w:rsidRDefault="00B34A74" w:rsidP="00904C72">
            <w:pPr>
              <w:spacing w:before="20" w:after="20" w:line="276" w:lineRule="auto"/>
              <w:rPr>
                <w:rFonts w:ascii="Arial" w:hAnsi="Arial" w:cs="Arial"/>
              </w:rPr>
            </w:pPr>
            <w:r>
              <w:rPr>
                <w:rFonts w:ascii="Arial" w:eastAsia="Arial" w:hAnsi="Arial" w:cs="Arial"/>
                <w:b/>
                <w:bCs/>
              </w:rPr>
              <w:t>Responsabilidades</w:t>
            </w:r>
          </w:p>
        </w:tc>
      </w:tr>
      <w:tr w:rsidR="00B34A74" w14:paraId="5A467A1C"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57C8D2" w14:textId="77777777" w:rsidR="00B34A74" w:rsidRDefault="00B34A74" w:rsidP="00904C72">
            <w:pPr>
              <w:spacing w:before="20" w:after="20" w:line="276" w:lineRule="auto"/>
              <w:rPr>
                <w:rFonts w:ascii="Arial" w:hAnsi="Arial" w:cs="Arial"/>
              </w:rPr>
            </w:pPr>
            <w:r>
              <w:rPr>
                <w:rFonts w:ascii="Arial" w:eastAsia="Arial" w:hAnsi="Arial" w:cs="Arial"/>
                <w:b/>
                <w:bCs/>
                <w:highlight w:val="yellow"/>
              </w:rPr>
              <w:t>Oficial de Inteligencia Artificial (OIA)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BFD903" w14:textId="77777777" w:rsidR="00B34A74" w:rsidRDefault="00B34A74" w:rsidP="00904C72">
            <w:pPr>
              <w:spacing w:before="20" w:after="20" w:line="276" w:lineRule="auto"/>
              <w:rPr>
                <w:rFonts w:ascii="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F50ED3"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 xml:space="preserve">Coordina el gobierno y la gestión de la IA institucional y el seguimiento del PAIA. </w:t>
            </w:r>
          </w:p>
        </w:tc>
      </w:tr>
      <w:tr w:rsidR="00B34A74" w14:paraId="79E72889"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C76C9F" w14:textId="77777777" w:rsidR="00B34A74" w:rsidRDefault="00B34A74" w:rsidP="00904C72">
            <w:pPr>
              <w:spacing w:after="0" w:line="276" w:lineRule="auto"/>
            </w:pPr>
            <w:r>
              <w:rPr>
                <w:rFonts w:ascii="Arial" w:eastAsia="Arial" w:hAnsi="Arial" w:cs="Arial"/>
                <w:b/>
                <w:bCs/>
                <w:color w:val="000000"/>
              </w:rPr>
              <w:t>Oficial de</w:t>
            </w:r>
          </w:p>
          <w:p w14:paraId="699EF18A" w14:textId="77777777" w:rsidR="00B34A74" w:rsidRPr="00923C59" w:rsidRDefault="00B34A74" w:rsidP="00904C72">
            <w:pPr>
              <w:spacing w:before="20" w:after="0" w:line="276" w:lineRule="auto"/>
              <w:rPr>
                <w:rFonts w:ascii="Arial" w:eastAsia="Arial" w:hAnsi="Arial" w:cs="Arial"/>
                <w:b/>
                <w:bCs/>
              </w:rPr>
            </w:pPr>
            <w:r>
              <w:rPr>
                <w:rFonts w:ascii="Arial" w:eastAsia="Arial" w:hAnsi="Arial" w:cs="Arial"/>
                <w:b/>
                <w:bCs/>
                <w:color w:val="000000"/>
              </w:rPr>
              <w:t>Gobierno de Datos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A53CE9" w14:textId="77777777" w:rsidR="00B34A74" w:rsidRDefault="00B34A74" w:rsidP="00904C72">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1E8134" w14:textId="77777777" w:rsidR="00B34A74" w:rsidRPr="0047575A"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 xml:space="preserve">En materia de calidad y gobernanza de los datos: promueve la calidad y el intercambio de los datos para evitar sesgos y asegurar su precisión y representatividad en los SBIA, conforme al numeral 6.8. </w:t>
            </w:r>
          </w:p>
          <w:p w14:paraId="2C4F511A"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Emite opinión sobre el uso de datos en los casos de uso de IA.</w:t>
            </w:r>
          </w:p>
        </w:tc>
      </w:tr>
      <w:tr w:rsidR="00B34A74" w14:paraId="7B8A7F43"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0B04A9" w14:textId="77777777" w:rsidR="00B34A74" w:rsidRDefault="00B34A74" w:rsidP="00904C72">
            <w:pPr>
              <w:spacing w:after="0" w:line="276" w:lineRule="auto"/>
            </w:pPr>
            <w:r>
              <w:rPr>
                <w:rFonts w:ascii="Arial" w:eastAsia="Arial" w:hAnsi="Arial" w:cs="Arial"/>
                <w:b/>
                <w:bCs/>
                <w:color w:val="000000"/>
                <w:highlight w:val="yellow"/>
              </w:rPr>
              <w:t>Oficial de Datos Personales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5BE88A9" w14:textId="77777777" w:rsidR="00B34A74" w:rsidRDefault="00B34A74" w:rsidP="00904C72">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8D76E4" w14:textId="77777777" w:rsidR="00B34A74" w:rsidRP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 xml:space="preserve">En materia de tratamiento de datos personales: asegura el tratamiento adecuado de los datos personales en el desarrollo, implementación y </w:t>
            </w:r>
            <w:r>
              <w:rPr>
                <w:b w:val="0"/>
                <w:bCs w:val="0"/>
                <w:color w:val="000000"/>
                <w:highlight w:val="yellow"/>
              </w:rPr>
              <w:lastRenderedPageBreak/>
              <w:t>uso de los SBIA conforme al numeral 6.7.6.</w:t>
            </w:r>
          </w:p>
          <w:p w14:paraId="6316C4D8"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Actúa como enlace con la Autoridad Nacional de Protección de Datos Personales. Emite opinión sobre el tratamiento de datos personales en los casos de uso de IA.</w:t>
            </w:r>
          </w:p>
        </w:tc>
      </w:tr>
      <w:tr w:rsidR="00B34A74" w14:paraId="4285C671"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4123A8" w14:textId="77777777" w:rsidR="00B34A74" w:rsidRDefault="00B34A74" w:rsidP="00904C72">
            <w:pPr>
              <w:spacing w:after="0" w:line="276" w:lineRule="auto"/>
            </w:pPr>
            <w:r>
              <w:rPr>
                <w:rFonts w:ascii="Arial" w:eastAsia="Arial" w:hAnsi="Arial" w:cs="Arial"/>
                <w:b/>
                <w:bCs/>
                <w:color w:val="000000"/>
                <w:highlight w:val="yellow"/>
              </w:rPr>
              <w:lastRenderedPageBreak/>
              <w:t>Oficial de Seguridad y Confianza Digital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019050" w14:textId="77777777" w:rsidR="00B34A74" w:rsidRDefault="00B34A74" w:rsidP="00904C72">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0A3451"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En materia de seguridad digital: promueve la seguridad y confiabilidad de los SBIA y brinda soporte en la gestión de riesgos en su desarrollo, implementación y uso, conforme al numeral 6.7.1.</w:t>
            </w:r>
          </w:p>
        </w:tc>
      </w:tr>
      <w:tr w:rsidR="00B34A74" w14:paraId="0B3F7077"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11AADAD" w14:textId="77777777" w:rsidR="00B34A74" w:rsidRPr="00923C59" w:rsidRDefault="00B34A74" w:rsidP="00904C72">
            <w:pPr>
              <w:spacing w:before="20" w:after="20" w:line="276" w:lineRule="auto"/>
              <w:rPr>
                <w:rFonts w:ascii="Arial" w:hAnsi="Arial" w:cs="Arial"/>
              </w:rPr>
            </w:pPr>
            <w:r>
              <w:rPr>
                <w:rFonts w:ascii="Arial" w:eastAsia="Arial" w:hAnsi="Arial" w:cs="Arial"/>
                <w:b/>
                <w:bCs/>
              </w:rPr>
              <w:t>Ética e Integridad</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858A69" w14:textId="77777777" w:rsidR="00B34A74" w:rsidRPr="00923C59" w:rsidRDefault="00B34A74" w:rsidP="00904C72">
            <w:pPr>
              <w:spacing w:before="20" w:after="20" w:line="276" w:lineRule="auto"/>
              <w:rPr>
                <w:rFonts w:ascii="Arial" w:hAnsi="Arial" w:cs="Arial"/>
              </w:rPr>
            </w:pPr>
            <w:r>
              <w:rPr>
                <w:rFonts w:ascii="Arial" w:eastAsia="Arial" w:hAnsi="Arial" w:cs="Arial"/>
              </w:rPr>
              <w:t>OII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1B9956" w14:textId="77777777" w:rsidR="00B34A74" w:rsidRPr="00B34A74" w:rsidRDefault="00B34A74" w:rsidP="00904C72">
            <w:pPr>
              <w:pStyle w:val="Prrafodelista"/>
              <w:numPr>
                <w:ilvl w:val="0"/>
                <w:numId w:val="14"/>
              </w:numPr>
              <w:spacing w:before="20" w:after="20" w:line="276" w:lineRule="auto"/>
              <w:ind w:left="299" w:hanging="283"/>
              <w:jc w:val="left"/>
              <w:rPr>
                <w:b w:val="0"/>
                <w:bCs w:val="0"/>
              </w:rPr>
            </w:pPr>
            <w:r>
              <w:rPr>
                <w:b w:val="0"/>
                <w:bCs w:val="0"/>
                <w:highlight w:val="yellow"/>
              </w:rPr>
              <w:t>En materia de ética, integridad y prevención de sesgos: su opinión sobre la clasificación de riesgo consta de manera expresa en la propuesta, conforme al numeral 6.2.2;</w:t>
            </w:r>
          </w:p>
          <w:p w14:paraId="32D6651D" w14:textId="77777777" w:rsidR="00B34A74" w:rsidRPr="0047575A" w:rsidRDefault="00B34A74" w:rsidP="00904C72">
            <w:pPr>
              <w:pStyle w:val="Prrafodelista"/>
              <w:numPr>
                <w:ilvl w:val="0"/>
                <w:numId w:val="14"/>
              </w:numPr>
              <w:spacing w:before="20" w:after="20" w:line="276" w:lineRule="auto"/>
              <w:ind w:left="299" w:hanging="283"/>
              <w:jc w:val="left"/>
              <w:rPr>
                <w:b w:val="0"/>
                <w:bCs w:val="0"/>
              </w:rPr>
            </w:pPr>
            <w:r>
              <w:rPr>
                <w:b w:val="0"/>
                <w:bCs w:val="0"/>
                <w:highlight w:val="yellow"/>
              </w:rPr>
              <w:t xml:space="preserve">Supervisa el cumplimiento de los principios éticos en los SBIA conforme al numeral 6.14. </w:t>
            </w:r>
          </w:p>
          <w:p w14:paraId="65F1E086"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highlight w:val="yellow"/>
              </w:rPr>
              <w:t>Evalúa los riesgos de sesgo y discriminación en los SBIA. Administra el canal de consultas éticas en materia de IA.</w:t>
            </w:r>
          </w:p>
        </w:tc>
      </w:tr>
      <w:tr w:rsidR="00B34A74" w14:paraId="3199A77C"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CA3B68" w14:textId="77777777" w:rsidR="00B34A74" w:rsidRPr="00923C59" w:rsidRDefault="00B34A74" w:rsidP="00904C72">
            <w:pPr>
              <w:spacing w:before="20" w:after="20" w:line="276" w:lineRule="auto"/>
              <w:rPr>
                <w:rFonts w:ascii="Arial" w:hAnsi="Arial" w:cs="Arial"/>
              </w:rPr>
            </w:pPr>
            <w:r>
              <w:rPr>
                <w:rFonts w:ascii="Arial" w:eastAsia="Arial" w:hAnsi="Arial" w:cs="Arial"/>
                <w:b/>
                <w:bCs/>
              </w:rPr>
              <w:t>Asesoría Legal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855C4C5" w14:textId="77777777" w:rsidR="00B34A74" w:rsidRPr="00923C59" w:rsidRDefault="00B34A74" w:rsidP="00904C72">
            <w:pPr>
              <w:spacing w:before="20" w:after="20" w:line="276" w:lineRule="auto"/>
              <w:rPr>
                <w:rFonts w:ascii="Arial" w:hAnsi="Arial" w:cs="Arial"/>
              </w:rPr>
            </w:pPr>
            <w:r>
              <w:rPr>
                <w:rFonts w:ascii="Arial" w:eastAsia="Arial" w:hAnsi="Arial" w:cs="Arial"/>
              </w:rPr>
              <w:t>INALI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6A980D" w14:textId="77777777" w:rsidR="00B34A74" w:rsidRPr="0047575A"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 xml:space="preserve">En materia de asesoría jurídica y cumplimiento normativo: su opinión sobre la clasificación de riesgo consta de manera expresa en la propuesta, conforme al numeral 6.2.2. </w:t>
            </w:r>
          </w:p>
          <w:p w14:paraId="0D580670" w14:textId="77777777" w:rsidR="00B34A74" w:rsidRPr="0047575A"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 xml:space="preserve">Asesora sobre el cumplimiento normativo de los SBIA. Revisa la EIA en materia de protección de datos y reserva tributaria. </w:t>
            </w:r>
          </w:p>
          <w:p w14:paraId="04FBB6C1" w14:textId="77777777" w:rsidR="00B34A74" w:rsidRPr="0047575A"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lastRenderedPageBreak/>
              <w:t xml:space="preserve">Emite opinión previa sobre contratos con proveedores internacionales de IA. </w:t>
            </w:r>
          </w:p>
          <w:p w14:paraId="479EC934" w14:textId="77777777" w:rsidR="00B34A74"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Absuelve consultas legales sobre IA.</w:t>
            </w:r>
          </w:p>
        </w:tc>
      </w:tr>
      <w:tr w:rsidR="00B34A74" w14:paraId="6BA7FDD2"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BB007C" w14:textId="77777777" w:rsidR="00B34A74" w:rsidRPr="00923C59" w:rsidRDefault="00B34A74" w:rsidP="00904C72">
            <w:pPr>
              <w:spacing w:before="20" w:after="20" w:line="276" w:lineRule="auto"/>
              <w:rPr>
                <w:rFonts w:ascii="Arial" w:hAnsi="Arial" w:cs="Arial"/>
              </w:rPr>
            </w:pPr>
            <w:r>
              <w:rPr>
                <w:rFonts w:ascii="Arial" w:eastAsia="Arial" w:hAnsi="Arial" w:cs="Arial"/>
                <w:b/>
                <w:bCs/>
              </w:rPr>
              <w:lastRenderedPageBreak/>
              <w:t>Seguridad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0E76FB" w14:textId="77777777" w:rsidR="00B34A74" w:rsidRPr="00923C59" w:rsidRDefault="00B34A74" w:rsidP="00904C72">
            <w:pPr>
              <w:spacing w:before="20" w:after="20" w:line="276" w:lineRule="auto"/>
              <w:rPr>
                <w:rFonts w:ascii="Arial" w:hAnsi="Arial" w:cs="Arial"/>
              </w:rPr>
            </w:pPr>
            <w:r>
              <w:rPr>
                <w:rFonts w:ascii="Arial" w:eastAsia="Arial" w:hAnsi="Arial" w:cs="Arial"/>
              </w:rPr>
              <w:t>Ger. Seg. Información / Of. Seg. Informática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F73E3F" w14:textId="77777777" w:rsidR="00B34A74" w:rsidRDefault="00B34A74" w:rsidP="00904C72">
            <w:pPr>
              <w:pStyle w:val="Prrafodelista"/>
              <w:numPr>
                <w:ilvl w:val="0"/>
                <w:numId w:val="16"/>
              </w:numPr>
              <w:spacing w:before="20" w:after="20" w:line="276" w:lineRule="auto"/>
              <w:ind w:left="299" w:hanging="283"/>
              <w:jc w:val="left"/>
              <w:rPr>
                <w:b w:val="0"/>
                <w:bCs w:val="0"/>
              </w:rPr>
            </w:pPr>
            <w:commentRangeStart w:id="6"/>
            <w:r>
              <w:rPr>
                <w:b w:val="0"/>
                <w:bCs w:val="0"/>
                <w:highlight w:val="yellow"/>
              </w:rPr>
              <w:t>Audita los procesos del Sistema de Gestión de Seguridad de la Información que soportan a los SBIA (GSI).</w:t>
            </w:r>
            <w:commentRangeEnd w:id="6"/>
            <w:r w:rsidR="00DE41F6">
              <w:rPr>
                <w:rStyle w:val="Refdecomentario"/>
                <w:b w:val="0"/>
                <w:bCs w:val="0"/>
                <w:sz w:val="22"/>
                <w:szCs w:val="22"/>
              </w:rPr>
              <w:commentReference w:id="6"/>
            </w:r>
          </w:p>
          <w:p w14:paraId="481BC02B"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Efectúa el análisis de riesgo y las pruebas de vulnerabilidad de los SBIA (OSI).</w:t>
            </w:r>
          </w:p>
        </w:tc>
      </w:tr>
      <w:tr w:rsidR="00B34A74" w14:paraId="37D9A847"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C15714" w14:textId="77777777" w:rsidR="00B34A74" w:rsidRPr="00923C59" w:rsidRDefault="00B34A74" w:rsidP="00904C72">
            <w:pPr>
              <w:spacing w:before="20" w:after="20" w:line="276" w:lineRule="auto"/>
              <w:rPr>
                <w:rFonts w:ascii="Arial" w:hAnsi="Arial" w:cs="Arial"/>
              </w:rPr>
            </w:pPr>
            <w:r>
              <w:rPr>
                <w:rFonts w:ascii="Arial" w:eastAsia="Arial" w:hAnsi="Arial" w:cs="Arial"/>
                <w:b/>
                <w:bCs/>
              </w:rPr>
              <w:t>Arquitectura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236626B" w14:textId="77777777" w:rsidR="00B34A74" w:rsidRPr="00923C59" w:rsidRDefault="00B34A74" w:rsidP="00904C72">
            <w:pPr>
              <w:spacing w:before="20" w:after="20" w:line="276" w:lineRule="auto"/>
              <w:rPr>
                <w:rFonts w:ascii="Arial" w:hAnsi="Arial" w:cs="Arial"/>
              </w:rPr>
            </w:pPr>
            <w:r>
              <w:rPr>
                <w:rFonts w:ascii="Arial" w:eastAsia="Arial" w:hAnsi="Arial" w:cs="Arial"/>
              </w:rPr>
              <w:t>Ger. Arquitectura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6AA000"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t>Define los lineamientos y el marco de arquitectura para los SBIA.</w:t>
            </w:r>
          </w:p>
          <w:p w14:paraId="248906E1"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t>Revisa y aprueba el uso de nuevas tecnologías de IA, en el ámbito de su competencia.</w:t>
            </w:r>
          </w:p>
        </w:tc>
      </w:tr>
      <w:tr w:rsidR="00B34A74" w14:paraId="50FFB91E"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196AA9" w14:textId="77777777" w:rsidR="00B34A74" w:rsidRPr="00923C59" w:rsidRDefault="00B34A74" w:rsidP="00904C72">
            <w:pPr>
              <w:spacing w:before="20" w:after="20" w:line="276" w:lineRule="auto"/>
              <w:rPr>
                <w:rFonts w:ascii="Arial" w:hAnsi="Arial" w:cs="Arial"/>
              </w:rPr>
            </w:pPr>
            <w:r>
              <w:rPr>
                <w:rFonts w:ascii="Arial" w:eastAsia="Arial" w:hAnsi="Arial" w:cs="Arial"/>
                <w:b/>
                <w:bCs/>
              </w:rPr>
              <w:t>Gestión de proyectos y procesos de TI</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E1D9815" w14:textId="77777777" w:rsidR="00B34A74" w:rsidRPr="00923C59" w:rsidRDefault="00B34A74" w:rsidP="00904C72">
            <w:pPr>
              <w:spacing w:before="20" w:after="20" w:line="276" w:lineRule="auto"/>
              <w:rPr>
                <w:rFonts w:ascii="Arial" w:hAnsi="Arial" w:cs="Arial"/>
              </w:rPr>
            </w:pPr>
            <w:r>
              <w:rPr>
                <w:rFonts w:ascii="Arial" w:eastAsia="Arial" w:hAnsi="Arial" w:cs="Arial"/>
              </w:rPr>
              <w:t>Ger. Gestión de Procesos y Proyectos de Sistemas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602A6E" w14:textId="77777777" w:rsidR="00B34A74" w:rsidRPr="00B34A74" w:rsidRDefault="00B34A74" w:rsidP="00B34A74">
            <w:pPr>
              <w:pStyle w:val="Prrafodelista"/>
              <w:numPr>
                <w:ilvl w:val="0"/>
                <w:numId w:val="16"/>
              </w:numPr>
              <w:spacing w:before="20" w:after="20" w:line="276" w:lineRule="auto"/>
              <w:ind w:left="299" w:hanging="283"/>
              <w:jc w:val="left"/>
              <w:rPr>
                <w:b w:val="0"/>
                <w:bCs w:val="0"/>
              </w:rPr>
            </w:pPr>
            <w:r>
              <w:rPr>
                <w:b w:val="0"/>
                <w:bCs w:val="0"/>
              </w:rPr>
              <w:t>Asegura que los proyectos de SBIA se conduzcan conforme al procedimiento de gestión de proyectos de TI</w:t>
            </w:r>
            <w:r>
              <w:t>.</w:t>
            </w:r>
          </w:p>
          <w:p w14:paraId="64489EC4"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t>Integra los SBIA al Plan de Sistemas de la INSI.</w:t>
            </w:r>
          </w:p>
        </w:tc>
      </w:tr>
      <w:tr w:rsidR="00B34A74" w14:paraId="50948364"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6D8DA9" w14:textId="4645AE22" w:rsidR="00B34A74" w:rsidRDefault="00B34A74" w:rsidP="00904C72">
            <w:pPr>
              <w:spacing w:before="20" w:after="20" w:line="276" w:lineRule="auto"/>
              <w:rPr>
                <w:rFonts w:ascii="Arial" w:hAnsi="Arial" w:cs="Arial"/>
              </w:rPr>
            </w:pPr>
            <w:r>
              <w:rPr>
                <w:rFonts w:ascii="Arial" w:eastAsia="Arial" w:hAnsi="Arial" w:cs="Arial"/>
                <w:b/>
                <w:bCs/>
                <w:highlight w:val="yellow"/>
              </w:rPr>
              <w:t>Integración de programas y proyectos institucionales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E07D75" w14:textId="77777777" w:rsidR="00B34A74" w:rsidRDefault="00B34A74" w:rsidP="00904C72">
            <w:pPr>
              <w:spacing w:before="20" w:after="20" w:line="276" w:lineRule="auto"/>
              <w:rPr>
                <w:rFonts w:ascii="Arial" w:hAnsi="Arial" w:cs="Arial"/>
              </w:rPr>
            </w:pPr>
            <w:r>
              <w:rPr>
                <w:rFonts w:ascii="Arial" w:eastAsia="Arial" w:hAnsi="Arial" w:cs="Arial"/>
                <w:highlight w:val="yellow"/>
              </w:rPr>
              <w:t>OIPPI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39F574"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Promueve un enfoque holístico, sistémico y con sinergia en el desarrollo del caso de negocio de las iniciativas de SBIA.</w:t>
            </w:r>
          </w:p>
          <w:p w14:paraId="0B8A380A"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Promueve la reusabilidad de las soluciones tecnológicas en el desarrollo del caso de negocio de los SBIA.</w:t>
            </w:r>
          </w:p>
        </w:tc>
      </w:tr>
      <w:tr w:rsidR="00B34A74" w14:paraId="5226AE7A"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817029" w14:textId="77777777" w:rsidR="00B34A74" w:rsidRPr="00923C59" w:rsidRDefault="00B34A74" w:rsidP="00904C72">
            <w:pPr>
              <w:spacing w:before="20" w:after="20" w:line="276" w:lineRule="auto"/>
              <w:rPr>
                <w:rFonts w:ascii="Arial" w:hAnsi="Arial" w:cs="Arial"/>
              </w:rPr>
            </w:pPr>
            <w:commentRangeStart w:id="7"/>
            <w:r>
              <w:rPr>
                <w:rFonts w:ascii="Arial" w:eastAsia="Arial" w:hAnsi="Arial" w:cs="Arial"/>
                <w:b/>
                <w:bCs/>
              </w:rPr>
              <w:t>Representante de Negocio</w:t>
            </w:r>
            <w:commentRangeEnd w:id="7"/>
            <w:r w:rsidR="00DE41F6" w:rsidRPr="00923C59">
              <w:rPr>
                <w:rStyle w:val="Refdecomentario"/>
                <w:rFonts w:ascii="Arial" w:hAnsi="Arial" w:cs="Arial"/>
                <w:sz w:val="22"/>
                <w:szCs w:val="22"/>
              </w:rPr>
              <w:commentReference w:id="7"/>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B8D71F" w14:textId="77777777" w:rsidR="00B34A74" w:rsidRPr="00923C59" w:rsidRDefault="00B34A74" w:rsidP="00904C72">
            <w:pPr>
              <w:spacing w:before="20" w:after="20" w:line="276" w:lineRule="auto"/>
              <w:rPr>
                <w:rFonts w:ascii="Arial" w:hAnsi="Arial" w:cs="Arial"/>
              </w:rPr>
            </w:pPr>
            <w:r>
              <w:rPr>
                <w:rFonts w:ascii="Arial" w:eastAsia="Arial" w:hAnsi="Arial" w:cs="Arial"/>
              </w:rPr>
              <w:t>Superintendencias Nacionales Adjuntas</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218E6A"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t>Aporta la visión de negocio a la Comisión de Gobierno de IA.</w:t>
            </w:r>
          </w:p>
          <w:p w14:paraId="14613D4C"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Identifica y prioriza las iniciativas de negocio susceptibles de generar valor mediante SBIA.</w:t>
            </w:r>
          </w:p>
          <w:p w14:paraId="71793657"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lastRenderedPageBreak/>
              <w:t>Participa en la evaluación de los casos de uso desde la perspectiva de negocio.</w:t>
            </w:r>
          </w:p>
        </w:tc>
      </w:tr>
      <w:tr w:rsidR="00B34A74" w14:paraId="1CD4B123"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00565D" w14:textId="77777777" w:rsidR="00B34A74" w:rsidRDefault="00B34A74" w:rsidP="00904C72">
            <w:pPr>
              <w:spacing w:before="20" w:after="20" w:line="276" w:lineRule="auto"/>
              <w:rPr>
                <w:rFonts w:ascii="Arial" w:hAnsi="Arial" w:cs="Arial"/>
              </w:rPr>
            </w:pPr>
            <w:r>
              <w:rPr>
                <w:rFonts w:ascii="Arial" w:eastAsia="Arial" w:hAnsi="Arial" w:cs="Arial"/>
                <w:b/>
                <w:bCs/>
                <w:highlight w:val="yellow"/>
              </w:rPr>
              <w:lastRenderedPageBreak/>
              <w:t>Gestión de Recursos Humanos y desarrollo de capacidades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FDF1AB" w14:textId="77777777" w:rsidR="00B34A74" w:rsidRDefault="00B34A74" w:rsidP="00904C72">
            <w:pPr>
              <w:spacing w:before="20" w:after="20" w:line="276" w:lineRule="auto"/>
              <w:rPr>
                <w:rFonts w:ascii="Arial" w:hAnsi="Arial" w:cs="Arial"/>
              </w:rPr>
            </w:pPr>
            <w:r>
              <w:rPr>
                <w:rFonts w:ascii="Arial" w:eastAsia="Arial" w:hAnsi="Arial" w:cs="Arial"/>
                <w:highlight w:val="yellow"/>
              </w:rPr>
              <w:t>INRH</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2D1CB0"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Define las estrategias de gestión de recursos humanos relacionadas con la adopción y el uso de los SBIA.</w:t>
            </w:r>
          </w:p>
          <w:p w14:paraId="56B2779C"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Conduce las acciones de sensibilización, concientización y capacitación en IA, diferenciadas por grupos de uso de SBIA.</w:t>
            </w:r>
          </w:p>
          <w:p w14:paraId="17A37630"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Lidera la gestión del cambio asociada a la adopción de la inteligencia artificial en el ámbito de las personas.</w:t>
            </w:r>
          </w:p>
          <w:p w14:paraId="74F9D318"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Actualiza anualmente dichas acciones e informa su avance al CGTD.</w:t>
            </w:r>
          </w:p>
          <w:p w14:paraId="2F2440BF"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Coordina con la INSI la definición de los contenidos técnicos.</w:t>
            </w:r>
          </w:p>
        </w:tc>
      </w:tr>
    </w:tbl>
    <w:p w14:paraId="59792E3A" w14:textId="77777777" w:rsidR="00863A18" w:rsidRPr="00923C59" w:rsidRDefault="00863A18" w:rsidP="00B23382">
      <w:pPr>
        <w:pStyle w:val="Ttulo1"/>
        <w:spacing w:line="276" w:lineRule="auto"/>
        <w:rPr>
          <w:rFonts w:cs="Arial"/>
          <w:szCs w:val="22"/>
        </w:rPr>
      </w:pPr>
      <w:bookmarkStart w:id="8" w:name="_Toc235003966"/>
      <w:r>
        <w:rPr>
          <w:rFonts w:cs="Arial"/>
          <w:bCs/>
          <w:color w:val="000000"/>
          <w:szCs w:val="22"/>
        </w:rPr>
        <w:t>DISPOSICIONES ESPECÍFICAS</w:t>
      </w:r>
      <w:bookmarkEnd w:id="8"/>
    </w:p>
    <w:p w14:paraId="18EF5179"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gestión y la evaluación de los SBIA</w:t>
      </w:r>
    </w:p>
    <w:p w14:paraId="30153FBD" w14:textId="77777777" w:rsidR="00863A18" w:rsidRPr="00923C59" w:rsidRDefault="00863A18" w:rsidP="00B23382">
      <w:pPr>
        <w:pStyle w:val="SubtituloDONI"/>
        <w:spacing w:line="276" w:lineRule="auto"/>
        <w:ind w:left="851"/>
      </w:pPr>
      <w:r>
        <w:t>6.1</w:t>
      </w:r>
      <w:r>
        <w:tab/>
        <w:t>Del ciclo de vida de los SBIA</w:t>
      </w:r>
    </w:p>
    <w:p w14:paraId="3A3AF2A7" w14:textId="77777777" w:rsidR="00863A18" w:rsidRPr="00923C59" w:rsidRDefault="00E950CF"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w:t>
      </w:r>
      <w:r>
        <w:rPr>
          <w:rFonts w:ascii="Arial" w:eastAsia="Arial" w:hAnsi="Arial" w:cs="Arial"/>
          <w:color w:val="000000"/>
        </w:rPr>
        <w:tab/>
        <w:t>Todo SBIA en la SUNAT sigue un ciclo de vida gestionado con las siguientes etapas:</w:t>
      </w:r>
    </w:p>
    <w:tbl>
      <w:tblPr>
        <w:tblW w:w="7938" w:type="dxa"/>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
        <w:gridCol w:w="1493"/>
        <w:gridCol w:w="3550"/>
        <w:gridCol w:w="2427"/>
      </w:tblGrid>
      <w:tr w:rsidR="00E950CF" w:rsidRPr="00923C59" w14:paraId="501327E5" w14:textId="77777777" w:rsidTr="00E950CF">
        <w:trPr>
          <w:tblHeader/>
        </w:trPr>
        <w:tc>
          <w:tcPr>
            <w:tcW w:w="440"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27BC4F7" w14:textId="77777777" w:rsidR="00E950CF" w:rsidRPr="00923C59" w:rsidRDefault="00E950CF" w:rsidP="00B23382">
            <w:pPr>
              <w:spacing w:before="20" w:after="20" w:line="276" w:lineRule="auto"/>
              <w:rPr>
                <w:rFonts w:ascii="Arial" w:hAnsi="Arial" w:cs="Arial"/>
              </w:rPr>
            </w:pPr>
            <w:r>
              <w:rPr>
                <w:rFonts w:ascii="Arial" w:eastAsia="Arial" w:hAnsi="Arial" w:cs="Arial"/>
                <w:b/>
                <w:bCs/>
              </w:rPr>
              <w:t>N.°</w:t>
            </w:r>
          </w:p>
        </w:tc>
        <w:tc>
          <w:tcPr>
            <w:tcW w:w="137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13FF878"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Etapa</w:t>
            </w:r>
          </w:p>
        </w:tc>
        <w:tc>
          <w:tcPr>
            <w:tcW w:w="365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E2BEB0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Descripción</w:t>
            </w:r>
          </w:p>
        </w:tc>
        <w:tc>
          <w:tcPr>
            <w:tcW w:w="247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25E4A824" w14:textId="77777777" w:rsidR="00E950CF" w:rsidRPr="00923C59" w:rsidRDefault="00E950CF" w:rsidP="00B23382">
            <w:pPr>
              <w:spacing w:before="20" w:after="20" w:line="276" w:lineRule="auto"/>
              <w:rPr>
                <w:rFonts w:ascii="Arial" w:hAnsi="Arial" w:cs="Arial"/>
              </w:rPr>
            </w:pPr>
            <w:r>
              <w:rPr>
                <w:rFonts w:ascii="Arial" w:eastAsia="Arial" w:hAnsi="Arial" w:cs="Arial"/>
                <w:b/>
                <w:bCs/>
              </w:rPr>
              <w:t>Hito de Aprobación</w:t>
            </w:r>
          </w:p>
        </w:tc>
      </w:tr>
      <w:tr w:rsidR="00E950CF" w:rsidRPr="00923C59" w14:paraId="70A2FD4B"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9EE6C96" w14:textId="77777777" w:rsidR="00E950CF" w:rsidRPr="00923C59" w:rsidRDefault="00E950CF" w:rsidP="00B23382">
            <w:pPr>
              <w:spacing w:before="20" w:after="20" w:line="276" w:lineRule="auto"/>
              <w:rPr>
                <w:rFonts w:ascii="Arial" w:hAnsi="Arial" w:cs="Arial"/>
              </w:rPr>
            </w:pPr>
            <w:r>
              <w:rPr>
                <w:rFonts w:ascii="Arial" w:eastAsia="Arial" w:hAnsi="Arial" w:cs="Arial"/>
              </w:rPr>
              <w:t>1</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C87BA7" w14:textId="77777777" w:rsidR="00E950CF" w:rsidRPr="00923C59" w:rsidRDefault="00E950CF" w:rsidP="00B23382">
            <w:pPr>
              <w:spacing w:before="20" w:after="20" w:line="276" w:lineRule="auto"/>
              <w:rPr>
                <w:rFonts w:ascii="Arial" w:hAnsi="Arial" w:cs="Arial"/>
              </w:rPr>
            </w:pPr>
            <w:r>
              <w:rPr>
                <w:rFonts w:ascii="Arial" w:eastAsia="Arial" w:hAnsi="Arial" w:cs="Arial"/>
                <w:b/>
                <w:bCs/>
              </w:rPr>
              <w:t>Ideación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3C823F" w14:textId="77777777" w:rsidR="00E67A73" w:rsidRDefault="00000000">
            <w:pPr>
              <w:spacing w:before="20" w:after="20" w:line="276" w:lineRule="auto"/>
              <w:rPr>
                <w:rFonts w:ascii="Arial" w:hAnsi="Arial" w:cs="Arial"/>
              </w:rPr>
            </w:pPr>
            <w:r>
              <w:rPr>
                <w:rFonts w:ascii="Arial" w:hAnsi="Arial" w:cs="Arial"/>
                <w:color w:val="000000"/>
                <w:highlight w:val="cyan"/>
              </w:rPr>
              <w:t>El propietario del caso de uso formula el caso de uso: identifica la necesidad institucional, define el problema a resolver y el resultado esperado, y lo presenta a la Comisión de Gobierno de IA mediante la Ficha de Evaluación de Caso de Uso (Anexo N.° 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45D76CA" w14:textId="77777777" w:rsidR="00E67A73" w:rsidRDefault="00000000">
            <w:pPr>
              <w:spacing w:before="20" w:after="20" w:line="276" w:lineRule="auto"/>
              <w:rPr>
                <w:rFonts w:ascii="Arial" w:hAnsi="Arial" w:cs="Arial"/>
              </w:rPr>
            </w:pPr>
            <w:r>
              <w:rPr>
                <w:rFonts w:ascii="Arial" w:eastAsia="Arial" w:hAnsi="Arial" w:cs="Arial"/>
                <w:highlight w:val="yellow"/>
              </w:rPr>
              <w:t>La Comisión de Gobierno de IA evalúa la Ficha y eleva la recomendación fundamentada. Aprobación conforme al numeral 6.1.2.</w:t>
            </w:r>
          </w:p>
        </w:tc>
      </w:tr>
      <w:tr w:rsidR="00E950CF" w:rsidRPr="00923C59" w14:paraId="37A6D1E2"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DC2540"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2</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38DDD9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Evaluación de viabilidad</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47AE5C9" w14:textId="77777777" w:rsidR="00E67A73" w:rsidRDefault="00000000">
            <w:pPr>
              <w:spacing w:before="20" w:after="20" w:line="276" w:lineRule="auto"/>
              <w:rPr>
                <w:rFonts w:ascii="Arial" w:hAnsi="Arial" w:cs="Arial"/>
              </w:rPr>
            </w:pPr>
            <w:r>
              <w:rPr>
                <w:rFonts w:ascii="Arial" w:eastAsia="Arial" w:hAnsi="Arial" w:cs="Arial"/>
                <w:highlight w:val="yellow"/>
              </w:rPr>
              <w:t>La Comisión de Gobierno de IA coordina la evaluación técnica, legal, ética y operativa de la iniciativa y propone la clasificación de riesgo del SBIA, conforme al numeral 6.2.</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9CE3A7E" w14:textId="77777777" w:rsidR="00E67A73" w:rsidRDefault="00000000">
            <w:pPr>
              <w:spacing w:before="20" w:after="20" w:line="276" w:lineRule="auto"/>
              <w:rPr>
                <w:rFonts w:ascii="Arial" w:hAnsi="Arial" w:cs="Arial"/>
              </w:rPr>
            </w:pPr>
            <w:r>
              <w:rPr>
                <w:rFonts w:ascii="Arial" w:eastAsia="Arial" w:hAnsi="Arial" w:cs="Arial"/>
                <w:highlight w:val="yellow"/>
              </w:rPr>
              <w:t>Aprobación de la clasificación de riesgo y de la viabilidad de la iniciativa, conforme al numeral 6.1.2.</w:t>
            </w:r>
          </w:p>
        </w:tc>
      </w:tr>
      <w:tr w:rsidR="00E950CF" w:rsidRPr="00923C59" w14:paraId="1E428106"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CEAA57" w14:textId="77777777" w:rsidR="00E950CF" w:rsidRPr="00923C59" w:rsidRDefault="00E950CF" w:rsidP="00B23382">
            <w:pPr>
              <w:spacing w:before="20" w:after="20" w:line="276" w:lineRule="auto"/>
              <w:rPr>
                <w:rFonts w:ascii="Arial" w:hAnsi="Arial" w:cs="Arial"/>
              </w:rPr>
            </w:pPr>
            <w:r>
              <w:rPr>
                <w:rFonts w:ascii="Arial" w:eastAsia="Arial" w:hAnsi="Arial" w:cs="Arial"/>
              </w:rPr>
              <w:t>3</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6979EA"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Diseño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76C339" w14:textId="77777777" w:rsidR="00E67A73" w:rsidRDefault="00000000">
            <w:pPr>
              <w:spacing w:before="20" w:after="20" w:line="276" w:lineRule="auto"/>
              <w:rPr>
                <w:rFonts w:ascii="Arial" w:hAnsi="Arial" w:cs="Arial"/>
              </w:rPr>
            </w:pPr>
            <w:r>
              <w:rPr>
                <w:rFonts w:ascii="Arial" w:eastAsia="Arial" w:hAnsi="Arial" w:cs="Arial"/>
                <w:highlight w:val="yellow"/>
              </w:rPr>
              <w:t>La GA conduce el diseño de la arquitectura del SBIA. Se define el mecanismo de supervisión humana, conforme al numeral 6.6. Para los SBIA de riesgo alto se elabora la EIA, conforme al numeral 6.4.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2C4AE8" w14:textId="77777777" w:rsidR="00E67A73" w:rsidRDefault="00000000">
            <w:pPr>
              <w:spacing w:before="20" w:after="20" w:line="276" w:lineRule="auto"/>
              <w:rPr>
                <w:rFonts w:ascii="Arial" w:hAnsi="Arial" w:cs="Arial"/>
              </w:rPr>
            </w:pPr>
            <w:r>
              <w:rPr>
                <w:rFonts w:ascii="Arial" w:eastAsia="Arial" w:hAnsi="Arial" w:cs="Arial"/>
                <w:highlight w:val="yellow"/>
              </w:rPr>
              <w:t>Aprobación de arquitectura por GA (INSI). Para SBIA de riesgo alto, aprobación de la EIA por el CGTD, previa al inicio del desarrollo o adquisición.</w:t>
            </w:r>
          </w:p>
        </w:tc>
      </w:tr>
      <w:tr w:rsidR="00E950CF" w:rsidRPr="00923C59" w14:paraId="7E26E278"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5C7561" w14:textId="77777777" w:rsidR="00E950CF" w:rsidRPr="00923C59" w:rsidRDefault="00E950CF" w:rsidP="00B23382">
            <w:pPr>
              <w:spacing w:before="20" w:after="20" w:line="276" w:lineRule="auto"/>
              <w:rPr>
                <w:rFonts w:ascii="Arial" w:hAnsi="Arial" w:cs="Arial"/>
              </w:rPr>
            </w:pPr>
            <w:r>
              <w:rPr>
                <w:rFonts w:ascii="Arial" w:eastAsia="Arial" w:hAnsi="Arial" w:cs="Arial"/>
              </w:rPr>
              <w:t>4</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0FFEE8"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Desarrollo / Adquisición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B2B6B7" w14:textId="77777777" w:rsidR="00E67A73" w:rsidRDefault="00000000">
            <w:pPr>
              <w:spacing w:before="20" w:after="20" w:line="276" w:lineRule="auto"/>
              <w:rPr>
                <w:rFonts w:ascii="Arial" w:hAnsi="Arial" w:cs="Arial"/>
              </w:rPr>
            </w:pPr>
            <w:r>
              <w:rPr>
                <w:rFonts w:ascii="Arial" w:eastAsia="Arial" w:hAnsi="Arial" w:cs="Arial"/>
                <w:highlight w:val="yellow"/>
              </w:rPr>
              <w:t>Las gerencias competentes de la INSI ejecutan el desarrollo del SBIA o gestionan su adquisición. La Oficina de Seguridad Informática evalúa y propone los requisitos de seguridad del SBIA, los cuales se incorporan como requisitos no funcionales.</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118594E" w14:textId="77777777" w:rsidR="00E950CF" w:rsidRPr="00923C59" w:rsidRDefault="00E950CF" w:rsidP="00B23382">
            <w:pPr>
              <w:spacing w:before="20" w:after="20" w:line="276" w:lineRule="auto"/>
              <w:rPr>
                <w:rFonts w:ascii="Arial" w:hAnsi="Arial" w:cs="Arial"/>
              </w:rPr>
            </w:pPr>
            <w:r>
              <w:rPr>
                <w:rFonts w:ascii="Arial" w:eastAsia="Arial" w:hAnsi="Arial" w:cs="Arial"/>
              </w:rPr>
              <w:t>En desarrollo interno: Conformidad de Gerencia de Desarrollo de Sistemas (INSI). En adquisición: Conformidad de la gerencia INSI responsable.</w:t>
            </w:r>
          </w:p>
        </w:tc>
      </w:tr>
      <w:tr w:rsidR="00E950CF" w:rsidRPr="00923C59" w14:paraId="49057DB2"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CB0D55" w14:textId="77777777" w:rsidR="00E950CF" w:rsidRPr="00923C59" w:rsidRDefault="00E950CF" w:rsidP="00B23382">
            <w:pPr>
              <w:spacing w:before="20" w:after="20" w:line="276" w:lineRule="auto"/>
              <w:rPr>
                <w:rFonts w:ascii="Arial" w:hAnsi="Arial" w:cs="Arial"/>
              </w:rPr>
            </w:pPr>
            <w:r>
              <w:rPr>
                <w:rFonts w:ascii="Arial" w:eastAsia="Arial" w:hAnsi="Arial" w:cs="Arial"/>
              </w:rPr>
              <w:t>5</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CB338B" w14:textId="77777777" w:rsidR="00E950CF" w:rsidRPr="00923C59" w:rsidRDefault="00E950CF" w:rsidP="00B23382">
            <w:pPr>
              <w:spacing w:before="20" w:after="20" w:line="276" w:lineRule="auto"/>
              <w:rPr>
                <w:rFonts w:ascii="Arial" w:hAnsi="Arial" w:cs="Arial"/>
              </w:rPr>
            </w:pPr>
            <w:r>
              <w:rPr>
                <w:rFonts w:ascii="Arial" w:eastAsia="Arial" w:hAnsi="Arial" w:cs="Arial"/>
                <w:b/>
                <w:bCs/>
              </w:rPr>
              <w:t>Certificación y validación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854824" w14:textId="77777777" w:rsidR="00E67A73" w:rsidRDefault="00000000">
            <w:pPr>
              <w:spacing w:before="20" w:after="20" w:line="276" w:lineRule="auto"/>
              <w:rPr>
                <w:rFonts w:ascii="Arial" w:hAnsi="Arial" w:cs="Arial"/>
              </w:rPr>
            </w:pPr>
            <w:r>
              <w:rPr>
                <w:rFonts w:ascii="Arial" w:eastAsia="Arial" w:hAnsi="Arial" w:cs="Arial"/>
                <w:highlight w:val="yellow"/>
              </w:rPr>
              <w:t>Se verifica la calidad, la seguridad y el desempeño del SBIA, así como la implementación de las medidas de mitigación previstas en la EIA, conforme al numeral 6.4.4.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62D759A" w14:textId="77777777" w:rsidR="00E67A73" w:rsidRDefault="00000000">
            <w:pPr>
              <w:spacing w:before="20" w:after="20" w:line="276" w:lineRule="auto"/>
              <w:rPr>
                <w:rFonts w:ascii="Arial" w:hAnsi="Arial" w:cs="Arial"/>
              </w:rPr>
            </w:pPr>
            <w:r>
              <w:rPr>
                <w:rFonts w:ascii="Arial" w:eastAsia="Arial" w:hAnsi="Arial" w:cs="Arial"/>
                <w:highlight w:val="yellow"/>
              </w:rPr>
              <w:t>La Gerencia de Calidad de Sistemas conduce las pruebas de verificación y validación de calidad, y la Oficina de Seguridad Informática efectúa el análisis de riesgo y las pruebas de vulnerabilidad, incluido el red teaming para riesgo alto. Con la conformidad de ambas y de la unidad de organización propietaria del caso de uso, la aprobación corresponde conforme al numeral 6.1.2.</w:t>
            </w:r>
          </w:p>
        </w:tc>
      </w:tr>
      <w:tr w:rsidR="00E950CF" w:rsidRPr="00923C59" w14:paraId="7BAC85DB"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B3ED1A"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6</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9BFDAC"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Despliegue</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A5F99CF" w14:textId="77777777" w:rsidR="00E67A73" w:rsidRDefault="00000000">
            <w:pPr>
              <w:spacing w:before="20" w:after="20" w:line="276" w:lineRule="auto"/>
              <w:rPr>
                <w:rFonts w:ascii="Arial" w:hAnsi="Arial" w:cs="Arial"/>
              </w:rPr>
            </w:pPr>
            <w:r>
              <w:rPr>
                <w:rFonts w:ascii="Arial" w:eastAsia="Arial" w:hAnsi="Arial" w:cs="Arial"/>
                <w:highlight w:val="yellow"/>
              </w:rPr>
              <w:t>Puesta en producción del SBIA y activación del monitoreo previsto en el numeral 6.10.</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9C6A73" w14:textId="77777777" w:rsidR="0018147B" w:rsidRDefault="00000000">
            <w:pPr>
              <w:spacing w:before="20" w:after="20" w:line="276" w:lineRule="auto"/>
              <w:rPr>
                <w:rFonts w:ascii="Arial" w:hAnsi="Arial" w:cs="Arial"/>
              </w:rPr>
            </w:pPr>
            <w:r>
              <w:rPr>
                <w:rFonts w:ascii="Arial" w:eastAsia="Arial" w:hAnsi="Arial" w:cs="Arial"/>
                <w:highlight w:val="yellow"/>
              </w:rPr>
              <w:t>Conformidad de la Gerencia de Operaciones y Soporte a Usuarios (INSI).</w:t>
            </w:r>
          </w:p>
        </w:tc>
      </w:tr>
      <w:tr w:rsidR="00E950CF" w:rsidRPr="00923C59" w14:paraId="4380B9A8"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9818B9" w14:textId="77777777" w:rsidR="00E950CF" w:rsidRPr="00923C59" w:rsidRDefault="00E950CF" w:rsidP="00B23382">
            <w:pPr>
              <w:spacing w:before="20" w:after="20" w:line="276" w:lineRule="auto"/>
              <w:rPr>
                <w:rFonts w:ascii="Arial" w:hAnsi="Arial" w:cs="Arial"/>
              </w:rPr>
            </w:pPr>
            <w:r>
              <w:rPr>
                <w:rFonts w:ascii="Arial" w:eastAsia="Arial" w:hAnsi="Arial" w:cs="Arial"/>
              </w:rPr>
              <w:t>7</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935EA" w14:textId="77777777" w:rsidR="00E950CF" w:rsidRPr="00923C59" w:rsidRDefault="00E950CF" w:rsidP="00B23382">
            <w:pPr>
              <w:spacing w:before="20" w:after="20" w:line="276" w:lineRule="auto"/>
              <w:rPr>
                <w:rFonts w:ascii="Arial" w:hAnsi="Arial" w:cs="Arial"/>
              </w:rPr>
            </w:pPr>
            <w:r>
              <w:rPr>
                <w:rFonts w:ascii="Arial" w:eastAsia="Arial" w:hAnsi="Arial" w:cs="Arial"/>
                <w:b/>
                <w:bCs/>
              </w:rPr>
              <w:t>Operación y monitoreo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964180" w14:textId="77777777" w:rsidR="00E67A73" w:rsidRDefault="00000000">
            <w:pPr>
              <w:spacing w:before="20" w:after="20" w:line="276" w:lineRule="auto"/>
              <w:rPr>
                <w:rFonts w:ascii="Arial" w:hAnsi="Arial" w:cs="Arial"/>
              </w:rPr>
            </w:pPr>
            <w:r>
              <w:rPr>
                <w:rFonts w:ascii="Arial" w:eastAsia="Arial" w:hAnsi="Arial" w:cs="Arial"/>
                <w:highlight w:val="yellow"/>
              </w:rPr>
              <w:t>El SBIA opera bajo la supervisión humana y el monitoreo previstos en los numerales 6.6 y 6.10. Los incidentes se gestionan conforme al numeral 6.7.5.</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5BB020" w14:textId="77777777" w:rsidR="00E950CF" w:rsidRPr="00923C59" w:rsidRDefault="00E950CF" w:rsidP="00B23382">
            <w:pPr>
              <w:spacing w:before="20" w:after="20" w:line="276" w:lineRule="auto"/>
              <w:rPr>
                <w:rFonts w:ascii="Arial" w:hAnsi="Arial" w:cs="Arial"/>
              </w:rPr>
            </w:pPr>
            <w:r>
              <w:rPr>
                <w:rFonts w:ascii="Arial" w:eastAsia="Arial" w:hAnsi="Arial" w:cs="Arial"/>
              </w:rPr>
              <w:t>Revisiones periódicas según nivel de riesgo.</w:t>
            </w:r>
          </w:p>
        </w:tc>
      </w:tr>
      <w:tr w:rsidR="00E950CF" w:rsidRPr="00923C59" w14:paraId="2FFBF3FC"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5F2970" w14:textId="77777777" w:rsidR="00E950CF" w:rsidRPr="00923C59" w:rsidRDefault="00E950CF" w:rsidP="00B23382">
            <w:pPr>
              <w:spacing w:before="20" w:after="20" w:line="276" w:lineRule="auto"/>
              <w:rPr>
                <w:rFonts w:ascii="Arial" w:hAnsi="Arial" w:cs="Arial"/>
              </w:rPr>
            </w:pPr>
            <w:r>
              <w:rPr>
                <w:rFonts w:ascii="Arial" w:eastAsia="Arial" w:hAnsi="Arial" w:cs="Arial"/>
              </w:rPr>
              <w:t>8</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58B80" w14:textId="77777777" w:rsidR="00E950CF" w:rsidRPr="00923C59" w:rsidRDefault="00E950CF" w:rsidP="00B23382">
            <w:pPr>
              <w:spacing w:before="20" w:after="20" w:line="276" w:lineRule="auto"/>
              <w:rPr>
                <w:rFonts w:ascii="Arial" w:hAnsi="Arial" w:cs="Arial"/>
              </w:rPr>
            </w:pPr>
            <w:r>
              <w:rPr>
                <w:rFonts w:ascii="Arial" w:eastAsia="Arial" w:hAnsi="Arial" w:cs="Arial"/>
                <w:b/>
                <w:bCs/>
              </w:rPr>
              <w:t>Retiro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8570DD" w14:textId="77777777" w:rsidR="00E67A73" w:rsidRDefault="00000000">
            <w:pPr>
              <w:spacing w:before="20" w:after="20" w:line="276" w:lineRule="auto"/>
              <w:rPr>
                <w:rFonts w:ascii="Arial" w:hAnsi="Arial" w:cs="Arial"/>
              </w:rPr>
            </w:pPr>
            <w:r>
              <w:rPr>
                <w:rFonts w:ascii="Arial" w:eastAsia="Arial" w:hAnsi="Arial" w:cs="Arial"/>
                <w:highlight w:val="yellow"/>
              </w:rPr>
              <w:t>Retiro del SBIA asegurando la preservación de los registros y la continuidad del servicio. Se actualiza el Inventario Institucional de SBIA.</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478D14" w14:textId="77777777" w:rsidR="00E67A73" w:rsidRDefault="00000000">
            <w:pPr>
              <w:spacing w:before="20" w:after="20" w:line="276" w:lineRule="auto"/>
              <w:rPr>
                <w:rFonts w:ascii="Arial" w:hAnsi="Arial" w:cs="Arial"/>
              </w:rPr>
            </w:pPr>
            <w:r>
              <w:rPr>
                <w:rFonts w:ascii="Arial" w:eastAsia="Arial" w:hAnsi="Arial" w:cs="Arial"/>
                <w:highlight w:val="yellow"/>
              </w:rPr>
              <w:t>Aprobación conforme al numeral 6.1.2. Actualización del Inventario Institucional de SBIA.</w:t>
            </w:r>
          </w:p>
        </w:tc>
      </w:tr>
    </w:tbl>
    <w:p w14:paraId="6FCBDB78" w14:textId="77777777" w:rsidR="00E950CF" w:rsidRPr="00923C59" w:rsidRDefault="00E950CF" w:rsidP="00B23382">
      <w:pPr>
        <w:spacing w:after="60" w:line="276" w:lineRule="auto"/>
        <w:jc w:val="both"/>
        <w:rPr>
          <w:rFonts w:ascii="Arial" w:eastAsia="Arial" w:hAnsi="Arial" w:cs="Arial"/>
          <w:color w:val="000000"/>
        </w:rPr>
      </w:pPr>
    </w:p>
    <w:p w14:paraId="7AAF6B06" w14:textId="77777777" w:rsidR="00E67A73" w:rsidRDefault="00000000">
      <w:pPr>
        <w:spacing w:after="60" w:line="276" w:lineRule="auto"/>
        <w:ind w:left="1276" w:hanging="720"/>
        <w:jc w:val="both"/>
        <w:rPr>
          <w:rFonts w:ascii="Arial" w:eastAsia="Arial" w:hAnsi="Arial" w:cs="Arial"/>
          <w:color w:val="000000"/>
        </w:rPr>
      </w:pPr>
      <w:r>
        <w:rPr>
          <w:rFonts w:ascii="Arial" w:hAnsi="Arial" w:cs="Arial"/>
          <w:color w:val="000000"/>
          <w:highlight w:val="cyan"/>
        </w:rPr>
        <w:t>6.1.2</w:t>
      </w:r>
      <w:r>
        <w:rPr>
          <w:rFonts w:ascii="Arial" w:hAnsi="Arial" w:cs="Arial"/>
          <w:color w:val="000000"/>
          <w:highlight w:val="cyan"/>
        </w:rPr>
        <w:tab/>
        <w:t>Los hitos de aprobación del ciclo de vida corresponden al CGTD en los SBIA de riesgo alto y en los estratégicos para la entidad, y a la Comisión de Gobierno de IA en los SBIA de riesgo aceptable. La Comisión informa al CGTD de las aprobaciones que otorga. En los SBIA de riesgo alto, todas las etapas e hitos son obligatorios. En los subniveles de riesgo aceptable, la Comisión puede aprobar un ciclo de vida simplificado y documentado.</w:t>
      </w:r>
    </w:p>
    <w:p w14:paraId="36A9BCB1"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6.1.3</w:t>
      </w:r>
      <w:r>
        <w:rPr>
          <w:rFonts w:ascii="Arial" w:eastAsia="Arial" w:hAnsi="Arial" w:cs="Arial"/>
          <w:color w:val="000000"/>
          <w:highlight w:val="yellow"/>
        </w:rPr>
        <w:tab/>
        <w:t>Los SBIA SaaS (enfoque A) siguen un ciclo de vida abreviado que comprende el registro en el Inventario Institucional de SBIA, la clasificación de riesgo conforme al numeral 6.2 y las verificaciones previstas en el numeral 6.12.</w:t>
      </w:r>
    </w:p>
    <w:p w14:paraId="28B8A15A"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6.1.4</w:t>
      </w:r>
      <w:r>
        <w:rPr>
          <w:rFonts w:ascii="Arial" w:eastAsia="Arial" w:hAnsi="Arial" w:cs="Arial"/>
          <w:color w:val="000000"/>
          <w:highlight w:val="yellow"/>
        </w:rPr>
        <w:tab/>
        <w:t>La Comisión de Gobierno de IA distingue dos situaciones respecto de un caso de uso de SBIA:</w:t>
      </w:r>
    </w:p>
    <w:p w14:paraId="4E12C55F" w14:textId="77777777" w:rsidR="0018147B" w:rsidRPr="00344C8A" w:rsidRDefault="00000000" w:rsidP="00344C8A">
      <w:pPr>
        <w:pStyle w:val="Prrafodelista"/>
        <w:numPr>
          <w:ilvl w:val="1"/>
          <w:numId w:val="22"/>
        </w:numPr>
        <w:spacing w:before="0" w:after="60" w:line="276" w:lineRule="auto"/>
        <w:ind w:left="1701"/>
        <w:rPr>
          <w:b w:val="0"/>
          <w:bCs w:val="0"/>
        </w:rPr>
      </w:pPr>
      <w:r>
        <w:rPr>
          <w:b w:val="0"/>
          <w:bCs w:val="0"/>
          <w:color w:val="000000"/>
          <w:highlight w:val="yellow"/>
        </w:rPr>
        <w:t>Observaciones subsanables (acompañamiento). Cuando la iniciativa presenta debilidades en el análisis de generación de valor, no cuenta con presupuesto identificado o la Ficha de Evaluación de Caso de Uso (Anexo N.° 4) está incompleta, la Comisión de Gobierno de IA brinda acompañamiento al propietario del caso de uso para fortalecer la propuesta antes de elevarla nuevamente. Ninguna iniciativa se descarta por estas causas.</w:t>
      </w:r>
    </w:p>
    <w:p w14:paraId="412AB8E2" w14:textId="77777777" w:rsidR="0018147B" w:rsidRPr="00344C8A" w:rsidRDefault="00000000" w:rsidP="00344C8A">
      <w:pPr>
        <w:pStyle w:val="Prrafodelista"/>
        <w:numPr>
          <w:ilvl w:val="1"/>
          <w:numId w:val="22"/>
        </w:numPr>
        <w:spacing w:after="60" w:line="276" w:lineRule="auto"/>
        <w:ind w:left="1701"/>
        <w:rPr>
          <w:b w:val="0"/>
          <w:bCs w:val="0"/>
          <w:color w:val="000000"/>
        </w:rPr>
      </w:pPr>
      <w:r>
        <w:rPr>
          <w:b w:val="0"/>
          <w:bCs w:val="0"/>
          <w:color w:val="000000"/>
          <w:highlight w:val="yellow"/>
        </w:rPr>
        <w:t xml:space="preserve">No procedencia. Cuando el SBIA es clasificado como de </w:t>
      </w:r>
      <w:r>
        <w:rPr>
          <w:b w:val="0"/>
          <w:bCs w:val="0"/>
          <w:color w:val="000000"/>
          <w:highlight w:val="cyan"/>
        </w:rPr>
        <w:t>uso indebido</w:t>
      </w:r>
      <w:r>
        <w:rPr>
          <w:b w:val="0"/>
          <w:bCs w:val="0"/>
          <w:color w:val="000000"/>
          <w:highlight w:val="yellow"/>
        </w:rPr>
        <w:t xml:space="preserve"> conforme al artículo 23 del RLIA, contraviene la Política de Uso Seguro, Responsable y Ético de los SBIA o la normativa vigente, o no cuenta con pronunciamiento favorable de la Comisión de Gobierno de IA sobre su viabilidad técnica, la Comisión fundamenta por escrito la no procedencia y la eleva al CGTD para su decisión definitiva en acta.</w:t>
      </w:r>
    </w:p>
    <w:p w14:paraId="1F039B1B" w14:textId="77777777" w:rsidR="00E67A73" w:rsidRDefault="00000000">
      <w:pPr>
        <w:spacing w:after="60" w:line="276" w:lineRule="auto"/>
        <w:ind w:left="1276"/>
        <w:jc w:val="both"/>
        <w:rPr>
          <w:rFonts w:ascii="Arial" w:eastAsia="Arial" w:hAnsi="Arial" w:cs="Arial"/>
          <w:color w:val="000000"/>
        </w:rPr>
      </w:pPr>
      <w:r>
        <w:rPr>
          <w:rFonts w:ascii="Arial" w:eastAsia="Arial" w:hAnsi="Arial" w:cs="Arial"/>
          <w:color w:val="000000"/>
          <w:highlight w:val="yellow"/>
        </w:rPr>
        <w:t xml:space="preserve">En la evaluación de la generación de valor, el beneficio puede sustentarse a nivel de un conjunto o programa de SBIA cuando la iniciativa forme parte de un </w:t>
      </w:r>
      <w:r>
        <w:rPr>
          <w:rFonts w:ascii="Arial" w:eastAsia="Arial" w:hAnsi="Arial" w:cs="Arial"/>
          <w:color w:val="000000"/>
          <w:highlight w:val="yellow"/>
        </w:rPr>
        <w:lastRenderedPageBreak/>
        <w:t>portafolio, e incluir beneficios cualitativos y de control de procesos además de los cuantitativos.</w:t>
      </w:r>
    </w:p>
    <w:p w14:paraId="68622EF3" w14:textId="77777777" w:rsidR="00E67A73" w:rsidRDefault="00000000">
      <w:pPr>
        <w:spacing w:after="60" w:line="276" w:lineRule="auto"/>
        <w:ind w:left="1276" w:hanging="720"/>
        <w:jc w:val="both"/>
        <w:rPr>
          <w:rFonts w:ascii="Arial" w:eastAsia="Arial" w:hAnsi="Arial" w:cs="Arial"/>
          <w:color w:val="000000"/>
        </w:rPr>
      </w:pPr>
      <w:commentRangeStart w:id="9"/>
      <w:r>
        <w:rPr>
          <w:rFonts w:ascii="Arial" w:hAnsi="Arial" w:cs="Arial"/>
          <w:color w:val="000000"/>
          <w:highlight w:val="cyan"/>
        </w:rPr>
        <w:t>6.1.5</w:t>
      </w:r>
      <w:r>
        <w:rPr>
          <w:rFonts w:ascii="Arial" w:hAnsi="Arial" w:cs="Arial"/>
          <w:color w:val="000000"/>
          <w:highlight w:val="cyan"/>
        </w:rPr>
        <w:tab/>
        <w:t>La INSI aprueba, con opinión favorable del CGTD, la metodología del ciclo de vida del SBIA previsto en el numeral 6.1.1, conforme a sus competencias y a la METDONI. La metodología comprende, como mínimo: el desarrollo y la aplicación de la clasificación de riesgo (Anexo N.° 2) y de la evaluación de impacto algorítmico (Anexo N.° 3), los criterios técnicos de diseño de la arquitectura de los SBIA, el contenido de los entregables de cada etapa, los tipos y las técnicas de prueba aplicables según el nivel de riesgo, los controles de contención, las prácticas de monitoreo y las condiciones de retiro. En tanto no se apruebe, los SBIA siguen el ciclo de vida del numeral 6.1.1 y la normativa de desarrollo de sistemas vigente en la SUNAT.</w:t>
      </w:r>
      <w:commentRangeEnd w:id="9"/>
      <w:r w:rsidR="00C66B57">
        <w:rPr>
          <w:rStyle w:val="Refdecomentario"/>
          <w:rFonts w:ascii="Arial" w:eastAsia="Arial" w:hAnsi="Arial" w:cs="Arial"/>
          <w:color w:val="000000"/>
          <w:sz w:val="22"/>
          <w:szCs w:val="22"/>
        </w:rPr>
        <w:commentReference w:id="9"/>
      </w:r>
    </w:p>
    <w:p w14:paraId="4B64236F" w14:textId="77777777" w:rsidR="00863A18" w:rsidRPr="00923C59" w:rsidRDefault="00863A18" w:rsidP="00B23382">
      <w:pPr>
        <w:pStyle w:val="SubtituloDONI"/>
        <w:spacing w:line="276" w:lineRule="auto"/>
        <w:ind w:left="851"/>
      </w:pPr>
      <w:r>
        <w:t>6.2</w:t>
      </w:r>
      <w:r>
        <w:tab/>
        <w:t>De la clasificación de los SBIA por nivel de riesgo</w:t>
      </w:r>
    </w:p>
    <w:p w14:paraId="5BB0242D" w14:textId="77777777" w:rsidR="000153F0" w:rsidRDefault="00000000">
      <w:pPr>
        <w:spacing w:after="60" w:line="276" w:lineRule="auto"/>
        <w:ind w:left="1276" w:hanging="720"/>
        <w:jc w:val="both"/>
        <w:rPr>
          <w:rFonts w:ascii="Arial" w:eastAsia="Arial" w:hAnsi="Arial" w:cs="Arial"/>
          <w:color w:val="000000"/>
        </w:rPr>
      </w:pPr>
      <w:r>
        <w:rPr>
          <w:rFonts w:ascii="Arial" w:hAnsi="Arial" w:cs="Arial"/>
          <w:color w:val="000000"/>
          <w:highlight w:val="cyan"/>
        </w:rPr>
        <w:t>6.2.1</w:t>
      </w:r>
      <w:r>
        <w:rPr>
          <w:rFonts w:ascii="Arial" w:hAnsi="Arial" w:cs="Arial"/>
          <w:color w:val="000000"/>
          <w:highlight w:val="cyan"/>
        </w:rPr>
        <w:tab/>
        <w:t>La clasificación de riesgo determina, para cada iniciativa o SBIA de la SUNAT, la categoría de riesgo que genera su uso conforme al RLIA: uso indebido (artículo 23), riesgo alto (artículo 24) o riesgo aceptable (numeral 22.2 del artículo 22). El uso indebido deviene en prohibido; por ello, la SUNAT no desarrolla, adquiere, implementa ni opera SBIA cuyo uso sea indebido, y la clasificación los identifica y excluye en la etapa de evaluación de viabilidad, con anterioridad a su desarrollo o adquisición. Para fines operativos de supervisión y monitoreo, el riesgo aceptable se subdivide en dos subniveles internos (aceptable-limitado y aceptable-mínimo), sin constituir una categoría adicional del RLIA. La clasificación y la gestión de los riesgos de los SBIA se alinean a la NTP-ISO 31000 vigente, de uso obligatorio conforme a la Sexta Disposición Complementaria Final del RLIA.</w:t>
      </w:r>
    </w:p>
    <w:p w14:paraId="0F68BDCC"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6.2.2</w:t>
      </w:r>
      <w:r>
        <w:rPr>
          <w:rFonts w:ascii="Arial" w:eastAsia="Arial" w:hAnsi="Arial" w:cs="Arial"/>
          <w:color w:val="000000"/>
          <w:highlight w:val="yellow"/>
        </w:rPr>
        <w:tab/>
      </w:r>
      <w:r>
        <w:rPr>
          <w:rFonts w:ascii="Arial" w:eastAsia="Arial" w:hAnsi="Arial" w:cs="Arial"/>
          <w:highlight w:val="cyan"/>
        </w:rPr>
        <w:t xml:space="preserve">Para la aplicación de la clasificación establecida, la Comisión de Gobierno de IA propone la clasificación de riesgo de las iniciativas que se presentan. </w:t>
      </w:r>
      <w:r>
        <w:rPr>
          <w:rFonts w:ascii="Arial" w:eastAsia="Arial" w:hAnsi="Arial" w:cs="Arial"/>
          <w:color w:val="000000"/>
          <w:highlight w:val="yellow"/>
        </w:rPr>
        <w:t xml:space="preserve">La opinión de la OII, en materia de ética, integridad y prevención de sesgos, y la de la INALI, en materia de cumplimiento normativo, constan de manera expresa en la propuesta. El CGTD aprueba la clasificación de las iniciativas de SBIA de riesgo alto y de aquellos estratégicos para la entidad; la Comisión de Gobierno de IA aprueba la clasificación de los SBIA de riesgo aceptable e informa de ello al CGTD. </w:t>
      </w:r>
      <w:r>
        <w:rPr>
          <w:rFonts w:ascii="Arial" w:eastAsia="Arial" w:hAnsi="Arial" w:cs="Arial"/>
          <w:highlight w:val="cyan"/>
        </w:rPr>
        <w:t>La clasificación es parte de la evaluación de viabilidad de acuerdo al ciclo de vida descrito en el 6.1.1.</w:t>
      </w:r>
      <w:r>
        <w:rPr>
          <w:rFonts w:ascii="Arial" w:eastAsia="Arial" w:hAnsi="Arial" w:cs="Arial"/>
          <w:color w:val="000000"/>
          <w:highlight w:val="cyan"/>
        </w:rPr>
        <w:t xml:space="preserve"> La clasificación aplica los criterios de la Matriz de Clasificación de Riesgos (Anexo N.° 2); el detalle de su aplicación se desarrolla en la metodología prevista en el numeral 6.1.5.</w:t>
      </w:r>
    </w:p>
    <w:p w14:paraId="404600B8"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6.2.3</w:t>
      </w:r>
      <w:r>
        <w:rPr>
          <w:rFonts w:ascii="Arial" w:eastAsia="Arial" w:hAnsi="Arial" w:cs="Arial"/>
          <w:color w:val="000000"/>
          <w:highlight w:val="yellow"/>
        </w:rPr>
        <w:tab/>
        <w:t xml:space="preserve">La SUNAT prohíbe el desarrollo, adquisición, implementación u operación de SBIA clasificados como de </w:t>
      </w:r>
      <w:r>
        <w:rPr>
          <w:rFonts w:ascii="Arial" w:eastAsia="Arial" w:hAnsi="Arial" w:cs="Arial"/>
          <w:color w:val="000000"/>
          <w:highlight w:val="cyan"/>
        </w:rPr>
        <w:t>uso indebido</w:t>
      </w:r>
      <w:r>
        <w:rPr>
          <w:rFonts w:ascii="Arial" w:eastAsia="Arial" w:hAnsi="Arial" w:cs="Arial"/>
          <w:color w:val="000000"/>
          <w:highlight w:val="yellow"/>
        </w:rPr>
        <w:t xml:space="preserve">, conforme al artículo 23 del RLIA. Sin perjuicio de lo señalado en el literal e) del numeral 23.1 del citado artículo, no se consideran de uso indebido los SBIA utilizados para apoyar la evaluación humana sobre la implicación de una persona física en una actividad delictiva, siempre que se basen en hechos objetivos y verificables directamente relacionados con una actividad delictiva ya existente y cuenten con mecanismos de supervisión humana, transparencia y auditabilidad para </w:t>
      </w:r>
      <w:r>
        <w:rPr>
          <w:rFonts w:ascii="Arial" w:eastAsia="Arial" w:hAnsi="Arial" w:cs="Arial"/>
          <w:color w:val="000000"/>
          <w:highlight w:val="yellow"/>
        </w:rPr>
        <w:lastRenderedPageBreak/>
        <w:t>garantizar la no discriminación y la protección de los derechos fundamentales, conforme al numeral 23.4 del citado artículo.</w:t>
      </w:r>
    </w:p>
    <w:p w14:paraId="589662DE" w14:textId="77777777" w:rsidR="00F91DE2"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rPr>
        <w:t>6.2.4</w:t>
      </w:r>
      <w:r>
        <w:rPr>
          <w:rFonts w:ascii="Arial" w:eastAsia="Arial" w:hAnsi="Arial" w:cs="Arial"/>
          <w:color w:val="000000"/>
        </w:rPr>
        <w:tab/>
      </w:r>
      <w:r>
        <w:rPr>
          <w:rFonts w:ascii="Arial" w:eastAsia="Arial" w:hAnsi="Arial" w:cs="Arial"/>
          <w:color w:val="000000"/>
          <w:highlight w:val="cyan"/>
        </w:rPr>
        <w:t>La prohibición del uso indebido se asegura mediante la clasificación de riesgo previa y obligatoria, el filtro de no procedencia y el registro obligatorio en el Inventario Institucional de SBIA. Ante la duda sobre si un SBIA constituye uso indebido, la SUNAT puede formular a la SGTD la consulta prevista en el artículo 23 del RLIA.</w:t>
      </w:r>
    </w:p>
    <w:p w14:paraId="1C5BB831" w14:textId="77777777" w:rsidR="00863A18" w:rsidRPr="00923C59" w:rsidRDefault="00863A18" w:rsidP="00B23382">
      <w:pPr>
        <w:pStyle w:val="SubtituloDONI"/>
        <w:spacing w:line="276" w:lineRule="auto"/>
        <w:ind w:left="851"/>
      </w:pPr>
      <w:r>
        <w:t>6.3</w:t>
      </w:r>
      <w:r>
        <w:tab/>
        <w:t>Del Inventario Institucional de SBIA</w:t>
      </w:r>
    </w:p>
    <w:p w14:paraId="05B5E59A" w14:textId="77777777" w:rsidR="00E22CB4" w:rsidRPr="00923C59"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6.3.1</w:t>
      </w:r>
      <w:r>
        <w:rPr>
          <w:rFonts w:ascii="Arial" w:eastAsia="Arial" w:hAnsi="Arial" w:cs="Arial"/>
          <w:color w:val="000000"/>
        </w:rPr>
        <w:tab/>
        <w:t>La Comisión de Gobierno de IA administra el Inventario Institucional de SBIA, donde registra todos los SBIA de la SUNAT. El registro es obligatorio y previo al inicio del desarrollo o adquisición. El Anexo N.° 1 define los campos mínimos.</w:t>
      </w:r>
    </w:p>
    <w:p w14:paraId="2E360875" w14:textId="77777777" w:rsidR="00E22CB4"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6.3.2</w:t>
      </w:r>
      <w:r>
        <w:rPr>
          <w:rFonts w:ascii="Arial" w:eastAsia="Arial" w:hAnsi="Arial" w:cs="Arial"/>
          <w:color w:val="000000"/>
        </w:rPr>
        <w:tab/>
        <w:t>La Comisión de Gobierno de IA actualiza el Inventario permanentemente y lo revisa integralmente al menos una vez al año.</w:t>
      </w:r>
    </w:p>
    <w:p w14:paraId="69EF3D3A" w14:textId="77777777" w:rsidR="00863A18" w:rsidRPr="00923C59" w:rsidRDefault="00863A18" w:rsidP="00B23382">
      <w:pPr>
        <w:pStyle w:val="SubtituloDONI"/>
        <w:spacing w:line="276" w:lineRule="auto"/>
        <w:ind w:left="851"/>
      </w:pPr>
      <w:r>
        <w:t>6.4</w:t>
      </w:r>
      <w:r>
        <w:tab/>
        <w:t>De la evaluación de impacto algorítmico</w:t>
      </w:r>
    </w:p>
    <w:p w14:paraId="1A0CDA46"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6.4.1</w:t>
      </w:r>
      <w:r>
        <w:rPr>
          <w:rFonts w:ascii="Arial" w:eastAsia="Arial" w:hAnsi="Arial" w:cs="Arial"/>
          <w:color w:val="000000"/>
          <w:highlight w:val="yellow"/>
        </w:rPr>
        <w:tab/>
        <w:t>Todo SBIA de riesgo alto debe contar con una EIA aprobada previamente a su desarrollo o implementación</w:t>
      </w:r>
      <w:r>
        <w:rPr>
          <w:rStyle w:val="Refdenotaalpie"/>
        </w:rPr>
        <w:footnoteReference w:id="1"/>
      </w:r>
      <w:r>
        <w:rPr>
          <w:rFonts w:ascii="Arial" w:eastAsia="Arial" w:hAnsi="Arial" w:cs="Arial"/>
          <w:color w:val="000000"/>
          <w:highlight w:val="yellow"/>
        </w:rPr>
        <w:t xml:space="preserve">. </w:t>
      </w:r>
      <w:r>
        <w:rPr>
          <w:rFonts w:ascii="Arial" w:eastAsia="Arial" w:hAnsi="Arial" w:cs="Arial"/>
          <w:color w:val="000000"/>
          <w:highlight w:val="cyan"/>
        </w:rPr>
        <w:t>La EIA contiene, como mínimo, la estructura del Anexo N.° 3, y el detalle de su elaboración se desarrolla en la metodología prevista en el numeral 6.1.5.</w:t>
      </w:r>
    </w:p>
    <w:p w14:paraId="7A1E8119"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hAnsi="Arial" w:cs="Arial"/>
          <w:color w:val="000000"/>
          <w:highlight w:val="cyan"/>
        </w:rPr>
        <w:t>6.4.2</w:t>
      </w:r>
      <w:r>
        <w:rPr>
          <w:rFonts w:ascii="Arial" w:hAnsi="Arial" w:cs="Arial"/>
          <w:color w:val="000000"/>
          <w:highlight w:val="cyan"/>
        </w:rPr>
        <w:tab/>
        <w:t>El propietario del caso de uso elabora la EIA con la participación del equipo técnico del SBIA, conformado por las gerencias de la INSI involucradas en su desarrollo o adquisición. La EIA incorpora los aspectos de negocio (en particular el impacto en el administrado) y los aspectos técnicos. La Comisión de Gobierno de IA, la OII y la INALI la revisan.</w:t>
      </w:r>
    </w:p>
    <w:p w14:paraId="7F4B9BD5"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6.4.3</w:t>
      </w:r>
      <w:r>
        <w:rPr>
          <w:rFonts w:ascii="Arial" w:eastAsia="Arial" w:hAnsi="Arial" w:cs="Arial"/>
          <w:color w:val="000000"/>
        </w:rPr>
        <w:tab/>
        <w:t>La Comisión de Gobierno de IA coordina la actualización de la EIA cuando se produzcan cambios significativos en el SBIA, datos o contexto de aplicación.</w:t>
      </w:r>
    </w:p>
    <w:p w14:paraId="12A62F0C"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6.4.4</w:t>
      </w:r>
      <w:r>
        <w:rPr>
          <w:rFonts w:ascii="Arial" w:eastAsia="Arial" w:hAnsi="Arial" w:cs="Arial"/>
          <w:color w:val="000000"/>
          <w:highlight w:val="yellow"/>
        </w:rPr>
        <w:tab/>
        <w:t>Cuando la EIA detecte riesgos que afecten los derechos fundamentales o puedan generar decisiones automatizadas erróneas, el propietario del caso de uso y el equipo técnico del SBIA adoptan las medidas necesarias para mitigar los impactos y realizan los ajustes necesarios previos a la implementación final, entre ellos ajustes en los modelos, mejora en la calidad de los datos y mecanismos de supervisión humana. Dichas medidas quedan documentadas</w:t>
      </w:r>
      <w:r>
        <w:rPr>
          <w:rStyle w:val="Refdenotaalpie"/>
        </w:rPr>
        <w:footnoteReference w:id="2"/>
      </w:r>
      <w:r>
        <w:rPr>
          <w:rFonts w:ascii="Arial" w:eastAsia="Arial" w:hAnsi="Arial" w:cs="Arial"/>
          <w:color w:val="000000"/>
          <w:highlight w:val="yellow"/>
        </w:rPr>
        <w:t>.</w:t>
      </w:r>
    </w:p>
    <w:p w14:paraId="0C678BCC"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diseño, la operación y la seguridad de los SBIA</w:t>
      </w:r>
    </w:p>
    <w:p w14:paraId="7B6AB991" w14:textId="77777777" w:rsidR="00E67A73" w:rsidRDefault="00000000">
      <w:pPr>
        <w:pStyle w:val="SubtituloDONI"/>
        <w:spacing w:line="276" w:lineRule="auto"/>
        <w:ind w:left="851"/>
      </w:pPr>
      <w:r>
        <w:rPr>
          <w:highlight w:val="yellow"/>
        </w:rPr>
        <w:t>6.5</w:t>
      </w:r>
      <w:r>
        <w:rPr>
          <w:highlight w:val="yellow"/>
        </w:rPr>
        <w:tab/>
        <w:t>De la arquitectura y el software de los SBIA</w:t>
      </w:r>
    </w:p>
    <w:p w14:paraId="485DF32D"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6.5.1</w:t>
      </w:r>
      <w:r>
        <w:rPr>
          <w:rFonts w:ascii="Arial" w:eastAsia="Arial" w:hAnsi="Arial" w:cs="Arial"/>
          <w:color w:val="000000"/>
          <w:highlight w:val="yellow"/>
        </w:rPr>
        <w:tab/>
        <w:t>La GA conduce el diseño de la arquitectura de los SBIA, conforme a sus funciones (artículos 129 y 130, literal a, del ROF). La arquitectura de los SBIA promueve soluciones modulares y escalables y el uso de estándares abiertos que eviten la dependencia tecnológica de un único proveedor.</w:t>
      </w:r>
    </w:p>
    <w:p w14:paraId="5746D6CB"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lastRenderedPageBreak/>
        <w:t>6.5.2</w:t>
      </w:r>
      <w:r>
        <w:rPr>
          <w:rFonts w:ascii="Arial" w:eastAsia="Arial" w:hAnsi="Arial" w:cs="Arial"/>
          <w:color w:val="000000"/>
          <w:highlight w:val="yellow"/>
        </w:rPr>
        <w:tab/>
        <w:t>El desarrollo, la adquisición y la adecuación del software de los SBIA cumplen las disposiciones y los estándares técnicos sobre procesos del ciclo de vida del software aplicables a las entidades de la Administración Pública, conforme a la normatividad vigente</w:t>
      </w:r>
      <w:r>
        <w:rPr>
          <w:rStyle w:val="Refdenotaalpie"/>
        </w:rPr>
        <w:footnoteReference w:id="3"/>
      </w:r>
      <w:r>
        <w:rPr>
          <w:rFonts w:ascii="Arial" w:eastAsia="Arial" w:hAnsi="Arial" w:cs="Arial"/>
          <w:color w:val="000000"/>
          <w:highlight w:val="yellow"/>
        </w:rPr>
        <w:t>.</w:t>
      </w:r>
    </w:p>
    <w:p w14:paraId="2D8CEC60" w14:textId="50AD7B0A" w:rsidR="005C3A70" w:rsidRPr="005C3A70" w:rsidRDefault="005C3A70" w:rsidP="005C3A70">
      <w:pPr>
        <w:spacing w:after="60" w:line="276" w:lineRule="auto"/>
        <w:ind w:left="1276" w:hanging="720"/>
        <w:jc w:val="both"/>
        <w:rPr>
          <w:rFonts w:ascii="Arial" w:eastAsia="Arial" w:hAnsi="Arial" w:cs="Arial"/>
          <w:color w:val="000000"/>
          <w:highlight w:val="lightGray"/>
        </w:rPr>
      </w:pPr>
      <w:r w:rsidRPr="005C3A70">
        <w:rPr>
          <w:rFonts w:ascii="Arial" w:eastAsia="Arial" w:hAnsi="Arial" w:cs="Arial"/>
          <w:color w:val="000000"/>
          <w:highlight w:val="lightGray"/>
        </w:rPr>
        <w:t xml:space="preserve">6.5.3 </w:t>
      </w:r>
      <w:r w:rsidRPr="005C3A70">
        <w:rPr>
          <w:rFonts w:ascii="Arial" w:eastAsia="Arial" w:hAnsi="Arial" w:cs="Arial"/>
          <w:color w:val="000000"/>
          <w:highlight w:val="lightGray"/>
        </w:rPr>
        <w:t xml:space="preserve">   </w:t>
      </w:r>
      <w:r w:rsidRPr="005C3A70">
        <w:rPr>
          <w:rFonts w:ascii="Arial" w:eastAsia="Arial" w:hAnsi="Arial" w:cs="Arial"/>
          <w:color w:val="000000"/>
          <w:highlight w:val="lightGray"/>
        </w:rPr>
        <w:t xml:space="preserve">El diseño de la arquitectura de los SBIA observa los Principios de Arquitectura (AAT.PRAQ.01) y los Lineamientos de Arquitectura (LAT.LIAQ.01) de la SUNAT, en sus versiones vigentes, en lo que corresponda a su naturaleza. La GA adecua dichos instrumentos y los estándares de arquitectura de su competencia para incorporar los requisitos propios de los SBIA —modelos, conjuntos de datos, componentes generativos y </w:t>
      </w:r>
      <w:r w:rsidRPr="005C3A70">
        <w:rPr>
          <w:rFonts w:ascii="Arial" w:eastAsia="Arial" w:hAnsi="Arial" w:cs="Arial"/>
          <w:color w:val="000000"/>
          <w:highlight w:val="lightGray"/>
        </w:rPr>
        <w:t>agenticos</w:t>
      </w:r>
      <w:r w:rsidRPr="005C3A70">
        <w:rPr>
          <w:rFonts w:ascii="Arial" w:eastAsia="Arial" w:hAnsi="Arial" w:cs="Arial"/>
          <w:color w:val="000000"/>
          <w:highlight w:val="lightGray"/>
        </w:rPr>
        <w:t>, e infraestructura especializada—, conforme al literal c) del artículo 130 del ROF, y los aprueba mediante el documento normativo institucional que corresponda según la METDONI.</w:t>
      </w:r>
    </w:p>
    <w:p w14:paraId="003F2D17" w14:textId="77777777" w:rsidR="005C3A70" w:rsidRDefault="005C3A70" w:rsidP="005C3A70">
      <w:pPr>
        <w:spacing w:after="60" w:line="276" w:lineRule="auto"/>
        <w:ind w:left="1276" w:hanging="720"/>
        <w:jc w:val="both"/>
        <w:rPr>
          <w:rFonts w:ascii="Arial" w:eastAsia="Arial" w:hAnsi="Arial" w:cs="Arial"/>
          <w:color w:val="000000"/>
          <w:highlight w:val="lightGray"/>
        </w:rPr>
      </w:pPr>
      <w:r w:rsidRPr="005C3A70">
        <w:rPr>
          <w:rFonts w:ascii="Arial" w:eastAsia="Arial" w:hAnsi="Arial" w:cs="Arial"/>
          <w:color w:val="000000"/>
          <w:highlight w:val="lightGray"/>
        </w:rPr>
        <w:t xml:space="preserve">6.5.4 </w:t>
      </w:r>
      <w:r w:rsidRPr="005C3A70">
        <w:rPr>
          <w:rFonts w:ascii="Arial" w:eastAsia="Arial" w:hAnsi="Arial" w:cs="Arial"/>
          <w:color w:val="000000"/>
          <w:highlight w:val="lightGray"/>
        </w:rPr>
        <w:t xml:space="preserve">  </w:t>
      </w:r>
      <w:r w:rsidRPr="005C3A70">
        <w:rPr>
          <w:rFonts w:ascii="Arial" w:eastAsia="Arial" w:hAnsi="Arial" w:cs="Arial"/>
          <w:color w:val="000000"/>
          <w:highlight w:val="lightGray"/>
        </w:rPr>
        <w:t>Todo SBIA cuenta con la aprobación de su arquitectura de solución por la GA, previa al inicio del desarrollo, la adquisición o el entrenamiento, conforme a la etapa 3 del numeral 6.1.1. Los requisitos derivados del nivel de riesgo aprobado, incluidos los mecanismos de supervisión humana, explicabilidad y trazabilidad, se incorporan como requisitos no funcionales de la solución.</w:t>
      </w:r>
    </w:p>
    <w:p w14:paraId="3E104098" w14:textId="51207D41" w:rsidR="005C3A70" w:rsidRPr="005C3A70" w:rsidRDefault="005C3A70" w:rsidP="005C3A70">
      <w:pPr>
        <w:spacing w:after="60" w:line="276" w:lineRule="auto"/>
        <w:ind w:left="1276" w:hanging="720"/>
        <w:jc w:val="both"/>
        <w:rPr>
          <w:rFonts w:ascii="Arial" w:eastAsia="Arial" w:hAnsi="Arial" w:cs="Arial"/>
          <w:color w:val="000000"/>
          <w:highlight w:val="lightGray"/>
        </w:rPr>
      </w:pPr>
      <w:r w:rsidRPr="005C3A70">
        <w:rPr>
          <w:rFonts w:ascii="Arial" w:eastAsia="Arial" w:hAnsi="Arial" w:cs="Arial"/>
          <w:color w:val="000000"/>
          <w:highlight w:val="lightGray"/>
        </w:rPr>
        <w:t>6.5.5</w:t>
      </w:r>
      <w:r>
        <w:rPr>
          <w:rFonts w:ascii="Arial" w:eastAsia="Arial" w:hAnsi="Arial" w:cs="Arial"/>
          <w:color w:val="000000"/>
          <w:highlight w:val="lightGray"/>
        </w:rPr>
        <w:t xml:space="preserve">   Los </w:t>
      </w:r>
      <w:r w:rsidRPr="005C3A70">
        <w:rPr>
          <w:rFonts w:ascii="Arial" w:eastAsia="Arial" w:hAnsi="Arial" w:cs="Arial"/>
          <w:color w:val="000000"/>
          <w:highlight w:val="lightGray"/>
        </w:rPr>
        <w:t>SBIA que ejecuten acciones sobre sistemas, datos o procesos con algún grado de autonomía</w:t>
      </w:r>
      <w:r>
        <w:rPr>
          <w:rFonts w:ascii="Arial" w:eastAsia="Arial" w:hAnsi="Arial" w:cs="Arial"/>
          <w:color w:val="000000"/>
          <w:highlight w:val="lightGray"/>
        </w:rPr>
        <w:t xml:space="preserve"> </w:t>
      </w:r>
      <w:r w:rsidRPr="005C3A70">
        <w:rPr>
          <w:rFonts w:ascii="Arial" w:eastAsia="Arial" w:hAnsi="Arial" w:cs="Arial"/>
          <w:color w:val="000000"/>
          <w:highlight w:val="lightGray"/>
        </w:rPr>
        <w:t>incorporan mecanismos de autorización, restricción y registro de dichas acciones, proporcionales al nivel de riesgo aprobado y al grado de autonomía asignado. El propietario del caso de uso define el alcance de las acciones autorizadas; la GA verifica su implementación antes del despliegue.</w:t>
      </w:r>
    </w:p>
    <w:p w14:paraId="3ADA6EC5" w14:textId="77777777" w:rsidR="005C3A70" w:rsidRPr="005C3A70" w:rsidRDefault="005C3A70" w:rsidP="005C3A70">
      <w:pPr>
        <w:spacing w:after="60" w:line="276" w:lineRule="auto"/>
        <w:ind w:left="1276" w:hanging="720"/>
        <w:jc w:val="both"/>
        <w:rPr>
          <w:rFonts w:ascii="Arial" w:eastAsia="Arial" w:hAnsi="Arial" w:cs="Arial"/>
          <w:color w:val="000000"/>
          <w:highlight w:val="lightGray"/>
        </w:rPr>
      </w:pPr>
      <w:r w:rsidRPr="005C3A70">
        <w:rPr>
          <w:rFonts w:ascii="Arial" w:eastAsia="Arial" w:hAnsi="Arial" w:cs="Arial"/>
          <w:color w:val="000000"/>
          <w:highlight w:val="lightGray"/>
        </w:rPr>
        <w:t>6.5.6 Los SBIA generativos que utilicen información institucional incorporan mecanismos que vinculen los resultados generados con sus fuentes de información autorizadas y vigentes. Esta trazabilidad sustenta la explicabilidad exigida en el numeral 6.9.3.</w:t>
      </w:r>
    </w:p>
    <w:p w14:paraId="7F04C0CC" w14:textId="704801AF" w:rsidR="005C3A70" w:rsidRDefault="005C3A70" w:rsidP="005C3A70">
      <w:pPr>
        <w:spacing w:after="60" w:line="276" w:lineRule="auto"/>
        <w:ind w:left="1276" w:hanging="720"/>
        <w:jc w:val="both"/>
        <w:rPr>
          <w:rFonts w:ascii="Arial" w:eastAsia="Arial" w:hAnsi="Arial" w:cs="Arial"/>
          <w:color w:val="000000"/>
        </w:rPr>
      </w:pPr>
      <w:r w:rsidRPr="005C3A70">
        <w:rPr>
          <w:rFonts w:ascii="Arial" w:eastAsia="Arial" w:hAnsi="Arial" w:cs="Arial"/>
          <w:color w:val="000000"/>
          <w:highlight w:val="lightGray"/>
        </w:rPr>
        <w:t xml:space="preserve">6.5.7 </w:t>
      </w:r>
      <w:r w:rsidRPr="005C3A70">
        <w:rPr>
          <w:rFonts w:ascii="Arial" w:eastAsia="Arial" w:hAnsi="Arial" w:cs="Arial"/>
          <w:color w:val="000000"/>
          <w:highlight w:val="lightGray"/>
        </w:rPr>
        <w:t xml:space="preserve">  </w:t>
      </w:r>
      <w:r w:rsidRPr="005C3A70">
        <w:rPr>
          <w:rFonts w:ascii="Arial" w:eastAsia="Arial" w:hAnsi="Arial" w:cs="Arial"/>
          <w:color w:val="000000"/>
          <w:highlight w:val="lightGray"/>
        </w:rPr>
        <w:t xml:space="preserve">La publicación del código fuente de los SBIA financiados con fondos públicos, con licencia libre o abierta en la Plataforma Nacional de Software Público Peruano (PNSSP), se sujeta a la determinación previa de su publicabilidad. Dicha determinación verifica que el código no revele información sujeta a reserva tributaria conforme al artículo 85 del TUO del Código Tributario, información protegida por confidencialidad aduanera, ni reglas de detección de riesgo cuya divulgación comprometa la función de control. La GA, con opinión de la INALI y de la Oficina de Seguridad Informática, determina la publicabilidad antes de cada liberación mayor; la GDS ejecuta la publicación cuando corresponda. </w:t>
      </w:r>
    </w:p>
    <w:p w14:paraId="53AB1498" w14:textId="77777777" w:rsidR="00863A18" w:rsidRPr="00923C59" w:rsidRDefault="00863A18" w:rsidP="00B23382">
      <w:pPr>
        <w:pStyle w:val="SubtituloDONI"/>
        <w:spacing w:line="276" w:lineRule="auto"/>
        <w:ind w:left="851"/>
      </w:pPr>
      <w:r>
        <w:t>6.6</w:t>
      </w:r>
      <w:r>
        <w:tab/>
        <w:t>De la supervisión humana</w:t>
      </w:r>
    </w:p>
    <w:p w14:paraId="6541E5CE"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6.6.1</w:t>
      </w:r>
      <w:r>
        <w:rPr>
          <w:rFonts w:ascii="Arial" w:eastAsia="Arial" w:hAnsi="Arial" w:cs="Arial"/>
          <w:color w:val="000000"/>
          <w:highlight w:val="yellow"/>
        </w:rPr>
        <w:tab/>
        <w:t xml:space="preserve">Todo SBIA cuenta con un mecanismo de supervisión humana proporcional a su nivel de riesgo. En los SBIA de riesgo alto que intervengan en decisiones </w:t>
      </w:r>
      <w:r>
        <w:rPr>
          <w:rFonts w:ascii="Arial" w:eastAsia="Arial" w:hAnsi="Arial" w:cs="Arial"/>
          <w:color w:val="000000"/>
          <w:highlight w:val="yellow"/>
        </w:rPr>
        <w:lastRenderedPageBreak/>
        <w:t>con impacto significativo, la supervisión humana es obligatoria; su extensión a los demás SBIA de riesgo alto y a los de riesgo aceptable es una decisión institucional. La correspondencia es la siguiente:</w:t>
      </w:r>
    </w:p>
    <w:p w14:paraId="2C1A00D4" w14:textId="77777777" w:rsidR="00863A18" w:rsidRPr="00923C59" w:rsidRDefault="00863A18">
      <w:pPr>
        <w:pStyle w:val="Prrafodelista"/>
        <w:numPr>
          <w:ilvl w:val="0"/>
          <w:numId w:val="3"/>
        </w:numPr>
        <w:spacing w:after="40" w:line="276" w:lineRule="auto"/>
        <w:ind w:left="1701"/>
        <w:rPr>
          <w:b w:val="0"/>
          <w:bCs w:val="0"/>
          <w:color w:val="000000"/>
        </w:rPr>
      </w:pPr>
      <w:r>
        <w:rPr>
          <w:b w:val="0"/>
          <w:bCs w:val="0"/>
          <w:color w:val="000000"/>
        </w:rPr>
        <w:t>Human-in-the-loop (obligatorio para riesgo alto): Un supervisor humano valida cada decisión o resultado del SBIA antes de su ejecución o comunicación al administrado. Aplica a: selección de contribuyentes para fiscalización, determinación de deuda, clasificación arancelaria.</w:t>
      </w:r>
    </w:p>
    <w:p w14:paraId="7C9E9B8E" w14:textId="77777777" w:rsidR="0018147B" w:rsidRDefault="00000000">
      <w:pPr>
        <w:pStyle w:val="Prrafodelista"/>
        <w:numPr>
          <w:ilvl w:val="0"/>
          <w:numId w:val="3"/>
        </w:numPr>
        <w:spacing w:after="40" w:line="276" w:lineRule="auto"/>
        <w:ind w:left="1701"/>
        <w:rPr>
          <w:b w:val="0"/>
          <w:bCs w:val="0"/>
          <w:color w:val="000000"/>
        </w:rPr>
      </w:pPr>
      <w:r>
        <w:rPr>
          <w:b w:val="0"/>
          <w:bCs w:val="0"/>
          <w:color w:val="000000"/>
          <w:highlight w:val="yellow"/>
        </w:rPr>
        <w:t>Human-on-the-loop (obligatorio para riesgo aceptable-limitado): Un supervisor humano monitorea las operaciones del SBIA y puede intervenir ante anomalías, sin validar cada resultado individual. Aplica a: chatbots de atención, asistentes de orientación, preclasificación.</w:t>
      </w:r>
    </w:p>
    <w:p w14:paraId="6BC28EEB" w14:textId="77777777" w:rsidR="0018147B" w:rsidRDefault="00000000">
      <w:pPr>
        <w:pStyle w:val="Prrafodelista"/>
        <w:numPr>
          <w:ilvl w:val="0"/>
          <w:numId w:val="3"/>
        </w:numPr>
        <w:spacing w:after="40" w:line="276" w:lineRule="auto"/>
        <w:ind w:left="1701"/>
        <w:rPr>
          <w:b w:val="0"/>
          <w:bCs w:val="0"/>
          <w:color w:val="000000"/>
        </w:rPr>
      </w:pPr>
      <w:r>
        <w:rPr>
          <w:b w:val="0"/>
          <w:bCs w:val="0"/>
          <w:color w:val="000000"/>
          <w:highlight w:val="yellow"/>
        </w:rPr>
        <w:t>Human-in-command (obligatorio para todos los SBIA): Un responsable designado por el propietario del caso de uso mantiene la capacidad de desactivar, suspender o modificar el comportamiento del SBIA en cualquier momento, incluida la interrupción inmediata de su operación ante la detección de un riesgo.</w:t>
      </w:r>
    </w:p>
    <w:p w14:paraId="21F1C2C9"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6.6.2</w:t>
      </w:r>
      <w:r>
        <w:rPr>
          <w:rFonts w:ascii="Arial" w:eastAsia="Arial" w:hAnsi="Arial" w:cs="Arial"/>
          <w:color w:val="000000"/>
          <w:highlight w:val="yellow"/>
        </w:rPr>
        <w:tab/>
        <w:t>El propietario del caso de uso, con la asistencia técnica de la Comisión de Gobierno de IA, define el mecanismo específico de supervisión humana del SBIA conforme a la clasificación de riesgo aprobada según el numeral 6.2.2. Dicha definición se documenta en la Ficha de Registro del SBIA (Anexo N.° 1) y en la EIA cuando corresponda, y requiere conformidad de la Comisión de Gobierno de IA previo al despliegue.</w:t>
      </w:r>
    </w:p>
    <w:p w14:paraId="52CA64C5"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6.6.3</w:t>
      </w:r>
      <w:r>
        <w:rPr>
          <w:rFonts w:ascii="Arial" w:eastAsia="Arial" w:hAnsi="Arial" w:cs="Arial"/>
          <w:color w:val="000000"/>
        </w:rPr>
        <w:tab/>
        <w:t>El propietario del caso de uso garantiza que el personal de supervisión cumple con las siguientes condiciones:</w:t>
      </w:r>
    </w:p>
    <w:p w14:paraId="3988CBE8" w14:textId="77777777" w:rsidR="00863A18" w:rsidRPr="00923C59" w:rsidRDefault="00863A18">
      <w:pPr>
        <w:pStyle w:val="Prrafodelista"/>
        <w:numPr>
          <w:ilvl w:val="0"/>
          <w:numId w:val="4"/>
        </w:numPr>
        <w:spacing w:before="0" w:after="40" w:line="276" w:lineRule="auto"/>
        <w:ind w:left="1701"/>
        <w:rPr>
          <w:b w:val="0"/>
          <w:bCs w:val="0"/>
        </w:rPr>
      </w:pPr>
      <w:r>
        <w:rPr>
          <w:b w:val="0"/>
          <w:bCs w:val="0"/>
          <w:color w:val="000000"/>
        </w:rPr>
        <w:t>Cuenta con las competencias técnicas y funcionales necesarias para evaluar los resultados del SBIA en su ámbito de aplicación.</w:t>
      </w:r>
    </w:p>
    <w:p w14:paraId="5003642A"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Ha recibido capacitación específica sobre el funcionamiento, las limitaciones y los riesgos del SBIA que supervisa, incluyendo la identificación y prevención de sesgos algorítmicos, a fin de no sesgarse por los resultados del sistema</w:t>
      </w:r>
      <w:r>
        <w:rPr>
          <w:rStyle w:val="Refdenotaalpie"/>
        </w:rPr>
        <w:footnoteReference w:id="4"/>
      </w:r>
      <w:r>
        <w:rPr>
          <w:b w:val="0"/>
          <w:bCs w:val="0"/>
          <w:color w:val="000000"/>
          <w:highlight w:val="yellow"/>
        </w:rPr>
        <w:t>.</w:t>
      </w:r>
    </w:p>
    <w:p w14:paraId="2D2673C7"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Dispone de los medios técnicos y la autoridad para detener, corregir o invalidar una decisión del SBIA cuando lo considere necesario.</w:t>
      </w:r>
    </w:p>
    <w:p w14:paraId="37346EF0" w14:textId="77777777" w:rsidR="00863A18" w:rsidRPr="00923C59" w:rsidRDefault="00863A18">
      <w:pPr>
        <w:pStyle w:val="Prrafodelista"/>
        <w:numPr>
          <w:ilvl w:val="0"/>
          <w:numId w:val="4"/>
        </w:numPr>
        <w:spacing w:after="40" w:line="276" w:lineRule="auto"/>
        <w:ind w:left="1701"/>
        <w:rPr>
          <w:b w:val="0"/>
          <w:bCs w:val="0"/>
        </w:rPr>
      </w:pPr>
      <w:r>
        <w:rPr>
          <w:b w:val="0"/>
          <w:bCs w:val="0"/>
          <w:color w:val="000000"/>
        </w:rPr>
        <w:t xml:space="preserve">No está sujeto a incentivos que condicionen su juicio a la aceptación </w:t>
      </w:r>
      <w:r>
        <w:rPr>
          <w:b w:val="0"/>
          <w:bCs w:val="0"/>
          <w:highlight w:val="cyan"/>
        </w:rPr>
        <w:t>de</w:t>
      </w:r>
      <w:r>
        <w:rPr>
          <w:b w:val="0"/>
          <w:bCs w:val="0"/>
          <w:color w:val="000000"/>
        </w:rPr>
        <w:t xml:space="preserve"> los resultados automatizados.</w:t>
      </w:r>
    </w:p>
    <w:p w14:paraId="7190B843" w14:textId="77777777" w:rsidR="00863A18"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6.6.4</w:t>
      </w:r>
      <w:r>
        <w:rPr>
          <w:rFonts w:ascii="Arial" w:eastAsia="Arial" w:hAnsi="Arial" w:cs="Arial"/>
          <w:color w:val="000000"/>
        </w:rPr>
        <w:tab/>
        <w:t xml:space="preserve">Todo SBIA, independientemente de su nivel de riesgo, incorpora medidas proporcionales para prevenir, detectar y corregir resultados discriminatorios o sesgados que puedan afectar a los administrados, conforme al principio de equidad e inclusión de la </w:t>
      </w:r>
      <w:r>
        <w:rPr>
          <w:rFonts w:ascii="Arial" w:hAnsi="Arial" w:cs="Arial"/>
          <w:highlight w:val="yellow"/>
        </w:rPr>
        <w:t>Política de Uso Seguro, Responsable y Ético de los SBIA</w:t>
      </w:r>
      <w:r>
        <w:rPr>
          <w:rFonts w:ascii="Arial" w:eastAsia="Arial" w:hAnsi="Arial" w:cs="Arial"/>
          <w:color w:val="000000"/>
        </w:rPr>
        <w:t>. La Comisión de Gobierno de IA verifica la existencia de estas medidas como parte de la evaluación de viabilidad.</w:t>
      </w:r>
    </w:p>
    <w:p w14:paraId="57F9E2B1" w14:textId="77777777" w:rsidR="00863A18" w:rsidRPr="00923C59" w:rsidRDefault="00863A18" w:rsidP="00B23382">
      <w:pPr>
        <w:pStyle w:val="SubtituloDONI"/>
        <w:spacing w:line="276" w:lineRule="auto"/>
        <w:ind w:left="851"/>
      </w:pPr>
      <w:r>
        <w:t>6.7</w:t>
      </w:r>
      <w:r>
        <w:tab/>
        <w:t>De la seguridad y privacidad en SBIA</w:t>
      </w:r>
    </w:p>
    <w:p w14:paraId="287A7FFC"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lastRenderedPageBreak/>
        <w:t>6.7.1</w:t>
      </w:r>
      <w:r>
        <w:rPr>
          <w:rFonts w:ascii="Arial" w:eastAsia="Arial" w:hAnsi="Arial" w:cs="Arial"/>
          <w:color w:val="000000"/>
          <w:highlight w:val="cyan"/>
        </w:rPr>
        <w:tab/>
        <w:t>Los SBIA cumplen la Política de Seguridad de la Información (SGSI-PO-01) y el Manual de Políticas del Sistema de Gestión de Seguridad de la Información (SGSI-MA-03) de la SUNAT, así como los demás documentos normativos y lineamientos de dicho Sistema de Gestión, en sus versiones vigentes</w:t>
      </w:r>
      <w:r>
        <w:rPr>
          <w:rFonts w:ascii="Arial" w:eastAsia="Arial" w:hAnsi="Arial" w:cs="Arial"/>
          <w:color w:val="000000"/>
        </w:rPr>
        <w:t>.</w:t>
      </w:r>
    </w:p>
    <w:p w14:paraId="7E8CBEA9" w14:textId="75904C60"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6.7.2</w:t>
      </w:r>
      <w:r>
        <w:rPr>
          <w:rFonts w:ascii="Arial" w:eastAsia="Arial" w:hAnsi="Arial" w:cs="Arial"/>
          <w:color w:val="000000"/>
          <w:highlight w:val="yellow"/>
        </w:rPr>
        <w:tab/>
        <w:t>Para SBIA de riesgo alto y de riesgo aceptable-limitado se requiere como mínimo: controles de contención (guardrails) de entrada y salida; controles de acceso basados en roles (RBAC); registro inmutable de auditoría (logs) de todas las interacciones; evaluación de vulnerabilidades conforme al OWASP Top 10 para aplicaciones LLM; red teaming previo al despliegue de SBIA de riesgo alto; y anonimización o seudonimización de datos personales antes del procesamiento. Estos controles constituyen medidas de seguridad digital conforme al artículo 29 del RLIA y se implementan aplicando la NTP-ISO/IEC 27002 y la NTP-ISO 31000 vigentes, complementadas con mejores prácticas de seguridad para IA, conforme a la Sexta Disposición Complementaria Final del RLIA.</w:t>
      </w:r>
    </w:p>
    <w:p w14:paraId="787B4A9C"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6.7.3</w:t>
      </w:r>
      <w:r>
        <w:rPr>
          <w:rFonts w:ascii="Arial" w:eastAsia="Arial" w:hAnsi="Arial" w:cs="Arial"/>
          <w:color w:val="000000"/>
        </w:rPr>
        <w:tab/>
        <w:t>Todo SBIA que procese reserva tributaria opera exclusivamente en infraestructura bajo control de la SUNAT.</w:t>
      </w:r>
    </w:p>
    <w:p w14:paraId="2CEA2E32"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6.7.4</w:t>
      </w:r>
      <w:r>
        <w:rPr>
          <w:rFonts w:ascii="Arial" w:eastAsia="Arial" w:hAnsi="Arial" w:cs="Arial"/>
          <w:color w:val="000000"/>
          <w:highlight w:val="yellow"/>
        </w:rPr>
        <w:tab/>
        <w:t>Todo SBIA, con independencia de su nivel de riesgo, integra la privacidad desde el diseño, minimizando la cantidad de datos personales recopilados y utilizando técnicas de anonimización, conforme al literal b) del artículo 29 del RLIA y a la Ley N.° 29733. En el desarrollo, la implementación y el uso de los SBIA se cumple la normativa vigente sobre privacidad y protección de datos personales, de acuerdo con lo que establezca la Autoridad Nacional de Protección de Datos Personales del Ministerio de Justicia y Derechos Humanos, conforme al artículo 26 del RLIA. Cuando la anonimización no resulte compatible con la finalidad del SBIA, la SUNAT admite la seudonimización; su justificación se documenta en la EIA o en la Ficha de Registro de SBIA, según corresponda. Los controles reforzados del numeral 6.7.2 aplican adicionalmente a los SBIA de riesgo alto y aceptable-limitado.</w:t>
      </w:r>
    </w:p>
    <w:p w14:paraId="2EFB00D1" w14:textId="77777777" w:rsidR="0050738A"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t>6.7.5</w:t>
      </w:r>
      <w:r>
        <w:rPr>
          <w:rFonts w:ascii="Arial" w:eastAsia="Arial" w:hAnsi="Arial" w:cs="Arial"/>
          <w:color w:val="000000"/>
          <w:highlight w:val="cyan"/>
        </w:rPr>
        <w:tab/>
        <w:t>La gestión de los incidentes y de las vulnerabilidades de seguridad de la información asociados a un SBIA se registra y atiende</w:t>
      </w:r>
      <w:r>
        <w:rPr>
          <w:rStyle w:val="Refdenotaalpie"/>
        </w:rPr>
        <w:footnoteReference w:id="5"/>
      </w:r>
      <w:r>
        <w:rPr>
          <w:rFonts w:ascii="Arial" w:eastAsia="Arial" w:hAnsi="Arial" w:cs="Arial"/>
          <w:color w:val="000000"/>
          <w:highlight w:val="cyan"/>
        </w:rPr>
        <w:t xml:space="preserve"> por el Procedimiento para el registro y atención de incidentes y vulnerabilidades de seguridad de la información (A-03.5.1-PR-003). Los incidentes que se presenten durante la operación de un SBIA en producción y que no constituyan incidentes de seguridad de la información se atienden conforme al Procedimiento de Gestión de Incidentes (A-03.1.1-PR-002). El propietario del caso de uso y las gerencias competentes de la INSI comunican los incidentes del uso y funcionamiento del SBIA por los canales que dichos procedimientos establecen; la Comisión de Gobierno de IA los consolida y los reporta en el informe trimestral del numeral 6.9.5.</w:t>
      </w:r>
    </w:p>
    <w:p w14:paraId="6E5B24CB"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6.7.6</w:t>
      </w:r>
      <w:r>
        <w:rPr>
          <w:rFonts w:ascii="Arial" w:eastAsia="Arial" w:hAnsi="Arial" w:cs="Arial"/>
          <w:color w:val="000000"/>
          <w:highlight w:val="yellow"/>
        </w:rPr>
        <w:tab/>
        <w:t xml:space="preserve">El Oficial de Datos Personales (ODP) asegura que en el desarrollo, la implementación y el uso de los SBIA se realice un tratamiento adecuado de los </w:t>
      </w:r>
      <w:r>
        <w:rPr>
          <w:rFonts w:ascii="Arial" w:eastAsia="Arial" w:hAnsi="Arial" w:cs="Arial"/>
          <w:color w:val="000000"/>
          <w:highlight w:val="yellow"/>
        </w:rPr>
        <w:lastRenderedPageBreak/>
        <w:t>datos personales</w:t>
      </w:r>
      <w:r>
        <w:rPr>
          <w:rStyle w:val="Refdenotaalpie"/>
        </w:rPr>
        <w:footnoteReference w:id="6"/>
      </w:r>
      <w:r>
        <w:rPr>
          <w:rFonts w:ascii="Arial" w:eastAsia="Arial" w:hAnsi="Arial" w:cs="Arial"/>
          <w:color w:val="000000"/>
          <w:highlight w:val="yellow"/>
        </w:rPr>
        <w:t xml:space="preserve"> y actúa como enlace con la Autoridad Nacional de Protección de Datos Personales. Emite opinión sobre el tratamiento de datos personales en los casos de uso de SBIA y en la EIA, cuando corresponda.</w:t>
      </w:r>
    </w:p>
    <w:p w14:paraId="399F7BE7" w14:textId="77777777" w:rsidR="0084436F" w:rsidRDefault="0084436F" w:rsidP="0084436F">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t>6.7.7</w:t>
      </w:r>
      <w:r>
        <w:rPr>
          <w:rFonts w:ascii="Arial" w:eastAsia="Arial" w:hAnsi="Arial" w:cs="Arial"/>
          <w:color w:val="000000"/>
          <w:highlight w:val="cyan"/>
        </w:rPr>
        <w:tab/>
        <w:t>La Oficina de Seguridad Informática elabora y propone el documento normativo de seguridad informática para SBIA que desarrolla la forma de implementar y verificar los controles del numeral 6.7.2, conforme al artículo 106, literales a) y b), del ROF. En tanto no se apruebe, los SBIA observan los controles mínimos del referido numeral.</w:t>
      </w:r>
    </w:p>
    <w:p w14:paraId="36612602" w14:textId="77777777" w:rsidR="00931E16" w:rsidRDefault="00931E16" w:rsidP="00931E16">
      <w:pPr>
        <w:pStyle w:val="SubtituloDONI"/>
        <w:spacing w:line="276" w:lineRule="auto"/>
        <w:ind w:left="851"/>
      </w:pPr>
      <w:r>
        <w:rPr>
          <w:highlight w:val="yellow"/>
        </w:rPr>
        <w:t>6.8</w:t>
      </w:r>
      <w:r>
        <w:rPr>
          <w:highlight w:val="yellow"/>
        </w:rPr>
        <w:tab/>
        <w:t>De los datos para los SBIA</w:t>
      </w:r>
    </w:p>
    <w:p w14:paraId="47FBF371"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6.8.1</w:t>
      </w:r>
      <w:r>
        <w:rPr>
          <w:rFonts w:ascii="Arial" w:eastAsia="Arial" w:hAnsi="Arial" w:cs="Arial"/>
          <w:color w:val="000000"/>
          <w:highlight w:val="yellow"/>
        </w:rPr>
        <w:tab/>
        <w:t>Los datos utilizados para el desarrollo, entrenamiento, validación y operación de un SBIA cuentan con procedencia documentada, base legal de uso determinada y requisitos de calidad definidos, conforme a la NTP-ISO/IEC 42001:2025</w:t>
      </w:r>
      <w:r>
        <w:rPr>
          <w:rStyle w:val="Refdenotaalpie"/>
        </w:rPr>
        <w:footnoteReference w:id="7"/>
      </w:r>
      <w:r>
        <w:rPr>
          <w:rFonts w:ascii="Arial" w:eastAsia="Arial" w:hAnsi="Arial" w:cs="Arial"/>
          <w:color w:val="000000"/>
          <w:highlight w:val="yellow"/>
        </w:rPr>
        <w:t>, y en concordancia con la ENGD.</w:t>
      </w:r>
    </w:p>
    <w:p w14:paraId="27B7124A" w14:textId="77777777" w:rsidR="00836DA1"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6.8.2</w:t>
      </w:r>
      <w:r>
        <w:rPr>
          <w:rFonts w:ascii="Arial" w:eastAsia="Arial" w:hAnsi="Arial" w:cs="Arial"/>
          <w:color w:val="000000"/>
          <w:highlight w:val="yellow"/>
        </w:rPr>
        <w:tab/>
        <w:t>El OGD promueve la calidad y el intercambio de los datos a fin de evitar sesgos y asegurar la precisión y representatividad de los datos utilizados en el entrenamiento, validación y uso de los SBIA</w:t>
      </w:r>
      <w:r>
        <w:rPr>
          <w:rStyle w:val="Refdenotaalpie"/>
        </w:rPr>
        <w:footnoteReference w:id="8"/>
      </w:r>
      <w:r>
        <w:rPr>
          <w:rFonts w:ascii="Arial" w:eastAsia="Arial" w:hAnsi="Arial" w:cs="Arial"/>
          <w:color w:val="000000"/>
          <w:highlight w:val="yellow"/>
        </w:rPr>
        <w:t xml:space="preserve"> y asegura su calidad e integridad</w:t>
      </w:r>
      <w:r>
        <w:rPr>
          <w:rStyle w:val="Refdenotaalpie"/>
        </w:rPr>
        <w:footnoteReference w:id="9"/>
      </w:r>
      <w:r>
        <w:rPr>
          <w:rFonts w:ascii="Arial" w:eastAsia="Arial" w:hAnsi="Arial" w:cs="Arial"/>
          <w:color w:val="000000"/>
          <w:highlight w:val="yellow"/>
        </w:rPr>
        <w:t>. Emite opinión sobre el uso de datos en la Ficha de Evaluación de Caso de Uso (Anexo N.° 4) y en la EIA, cuando corresponda.</w:t>
      </w:r>
    </w:p>
    <w:p w14:paraId="35456B5D" w14:textId="77777777" w:rsidR="00863A18" w:rsidRPr="001609F8" w:rsidRDefault="00931E16" w:rsidP="001609F8">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6.8.3</w:t>
      </w:r>
      <w:r>
        <w:rPr>
          <w:rFonts w:ascii="Arial" w:eastAsia="Arial" w:hAnsi="Arial" w:cs="Arial"/>
          <w:color w:val="000000"/>
          <w:highlight w:val="yellow"/>
        </w:rPr>
        <w:tab/>
        <w:t>El uso de datos protegidos por la reserva tributaria para el desarrollo, entrenamiento o validación de un SBIA requiere la determinación previa de su base legal, conforme al artículo 85 del TUO del Código Tributario. Los datos personales se tratan conforme a la Ley N.° 29733. La procedencia y la base legal de uso se documentan en la Ficha de Registro de SBIA (Anexo N.° 1).</w:t>
      </w:r>
    </w:p>
    <w:p w14:paraId="43349764"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6.8.4</w:t>
      </w:r>
      <w:r>
        <w:rPr>
          <w:rFonts w:ascii="Arial" w:eastAsia="Arial" w:hAnsi="Arial" w:cs="Arial"/>
          <w:color w:val="000000"/>
          <w:highlight w:val="yellow"/>
        </w:rPr>
        <w:tab/>
        <w:t>No se utilizan obras protegidas por derechos de autor y derechos conexos como insumo de entrenamiento, ajuste fino o procesamiento en SBIA sin contar con la autorización correspondiente o con la base legal habilitante</w:t>
      </w:r>
      <w:r>
        <w:rPr>
          <w:rStyle w:val="Refdenotaalpie"/>
        </w:rPr>
        <w:footnoteReference w:id="10"/>
      </w:r>
      <w:r>
        <w:rPr>
          <w:rFonts w:ascii="Arial" w:eastAsia="Arial" w:hAnsi="Arial" w:cs="Arial"/>
          <w:color w:val="000000"/>
          <w:highlight w:val="yellow"/>
        </w:rPr>
        <w:t>.</w:t>
      </w:r>
    </w:p>
    <w:p w14:paraId="3EFB2EA4" w14:textId="0D6386AE" w:rsidR="005C3A70" w:rsidRPr="005C3A70" w:rsidRDefault="005C3A70" w:rsidP="005C3A70">
      <w:pPr>
        <w:tabs>
          <w:tab w:val="left" w:pos="1418"/>
        </w:tabs>
        <w:spacing w:after="60" w:line="276" w:lineRule="auto"/>
        <w:ind w:left="1276" w:hanging="709"/>
        <w:jc w:val="both"/>
        <w:rPr>
          <w:rFonts w:ascii="Arial" w:eastAsia="Arial" w:hAnsi="Arial" w:cs="Arial"/>
          <w:color w:val="000000"/>
          <w:highlight w:val="lightGray"/>
        </w:rPr>
      </w:pPr>
      <w:r w:rsidRPr="005C3A70">
        <w:rPr>
          <w:rFonts w:ascii="Arial" w:eastAsia="Arial" w:hAnsi="Arial" w:cs="Arial"/>
          <w:color w:val="000000"/>
          <w:highlight w:val="lightGray"/>
        </w:rPr>
        <w:t xml:space="preserve">6.8.5 </w:t>
      </w:r>
      <w:r w:rsidRPr="005C3A70">
        <w:rPr>
          <w:rFonts w:ascii="Arial" w:eastAsia="Arial" w:hAnsi="Arial" w:cs="Arial"/>
          <w:color w:val="000000"/>
          <w:highlight w:val="lightGray"/>
        </w:rPr>
        <w:t xml:space="preserve">  </w:t>
      </w:r>
      <w:r w:rsidRPr="005C3A70">
        <w:rPr>
          <w:rFonts w:ascii="Arial" w:eastAsia="Arial" w:hAnsi="Arial" w:cs="Arial"/>
          <w:color w:val="000000"/>
          <w:highlight w:val="lightGray"/>
        </w:rPr>
        <w:t>Los conjuntos de datos que la SUNAT genere o administre y que califiquen como datos de alto valor se ponen a disposición a través del Centro Nacional de Datos (CND), previa determinación de su publicabilidad conforme al artículo 85 del TUO del Código Tributario y a la normativa de protección de datos personales. El OGD identifica los conjuntos candidatos y propone al CGTD su publicación.</w:t>
      </w:r>
    </w:p>
    <w:p w14:paraId="53A0B18A"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transparencia y el control de los SBIA</w:t>
      </w:r>
    </w:p>
    <w:p w14:paraId="56C7EFA5" w14:textId="77777777" w:rsidR="00863A18" w:rsidRPr="00923C59" w:rsidRDefault="00863A18" w:rsidP="00B23382">
      <w:pPr>
        <w:pStyle w:val="SubtituloDONI"/>
        <w:spacing w:line="276" w:lineRule="auto"/>
        <w:ind w:left="851"/>
      </w:pPr>
      <w:r>
        <w:t>6.9</w:t>
      </w:r>
      <w:r>
        <w:tab/>
        <w:t>De la transparencia, explicabilidad y rendición de cuentas</w:t>
      </w:r>
    </w:p>
    <w:p w14:paraId="4F417817"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6.9.1</w:t>
      </w:r>
      <w:r>
        <w:rPr>
          <w:rFonts w:ascii="Arial" w:eastAsia="Arial" w:hAnsi="Arial" w:cs="Arial"/>
          <w:color w:val="000000"/>
          <w:highlight w:val="yellow"/>
        </w:rPr>
        <w:tab/>
        <w:t xml:space="preserve">Los SBIA de riesgo alto cuentan con mecanismos de transparencia algorítmica que informan al usuario, de forma previa, clara y sencilla, la finalidad o uso del </w:t>
      </w:r>
      <w:r>
        <w:rPr>
          <w:rFonts w:ascii="Arial" w:eastAsia="Arial" w:hAnsi="Arial" w:cs="Arial"/>
          <w:color w:val="000000"/>
          <w:highlight w:val="yellow"/>
        </w:rPr>
        <w:lastRenderedPageBreak/>
        <w:t>SBIA, sus funcionalidades principales y el tipo de decisiones que puede tomar, de modo que comprenda cómo interactúa con el SBIA o con el servicio que lo emplea</w:t>
      </w:r>
      <w:r>
        <w:rPr>
          <w:rStyle w:val="Refdenotaalpie"/>
        </w:rPr>
        <w:footnoteReference w:id="11"/>
      </w:r>
      <w:r>
        <w:rPr>
          <w:rFonts w:ascii="Arial" w:eastAsia="Arial" w:hAnsi="Arial" w:cs="Arial"/>
          <w:color w:val="000000"/>
          <w:highlight w:val="yellow"/>
        </w:rPr>
        <w:t>. La descripción de dichos mecanismos consta en la Ficha de Registro de SBIA (Anexo N.° 1).</w:t>
      </w:r>
    </w:p>
    <w:p w14:paraId="1DA8DA75" w14:textId="77777777" w:rsidR="00836DA1" w:rsidRPr="006653DD" w:rsidRDefault="00000000">
      <w:pPr>
        <w:spacing w:after="60" w:line="276" w:lineRule="auto"/>
        <w:ind w:left="1276" w:hanging="720"/>
        <w:jc w:val="both"/>
        <w:rPr>
          <w:rFonts w:ascii="Arial" w:eastAsia="Arial" w:hAnsi="Arial" w:cs="Arial"/>
          <w:color w:val="EE0000"/>
        </w:rPr>
      </w:pPr>
      <w:r>
        <w:rPr>
          <w:rFonts w:ascii="Arial" w:eastAsia="Arial" w:hAnsi="Arial" w:cs="Arial"/>
          <w:color w:val="000000"/>
          <w:highlight w:val="cyan"/>
        </w:rPr>
        <w:t>6.9.2</w:t>
      </w:r>
      <w:r>
        <w:rPr>
          <w:rFonts w:ascii="Arial" w:eastAsia="Arial" w:hAnsi="Arial" w:cs="Arial"/>
          <w:color w:val="000000"/>
          <w:highlight w:val="cyan"/>
        </w:rPr>
        <w:tab/>
        <w:t>Entre los mecanismos del numeral 6.9.1 se incluye el etiquetado visible del SBIA, que informa al usuario con antelación que el producto, servicio o contenido se opera con base en IA y que permite comprender de manera general sus principales capacidades y limitaciones funcionales. Este etiquetado se aplica cuando resulta relevante para la toma de decisión o la interacción con el usuario, y se exceptúa de él a los SBIA que apoyan procesos administrativos internos sin impacto directo en la toma de decisiones que afecten derechos o servicios a las personas. El etiquetado aplicado se registra en la Ficha de Registro de SBIA (Anexo N.° 1).</w:t>
      </w:r>
    </w:p>
    <w:p w14:paraId="71D174A5" w14:textId="77777777" w:rsidR="00836DA1" w:rsidRDefault="00000000">
      <w:pPr>
        <w:spacing w:after="60" w:line="276" w:lineRule="auto"/>
        <w:ind w:left="1276" w:hanging="720"/>
        <w:jc w:val="both"/>
        <w:rPr>
          <w:rFonts w:ascii="Arial" w:eastAsia="Arial" w:hAnsi="Arial" w:cs="Arial"/>
          <w:color w:val="000000"/>
        </w:rPr>
      </w:pPr>
      <w:r>
        <w:rPr>
          <w:rFonts w:ascii="Arial" w:hAnsi="Arial" w:cs="Arial"/>
          <w:color w:val="000000"/>
          <w:highlight w:val="cyan"/>
        </w:rPr>
        <w:t>6.9.3</w:t>
      </w:r>
      <w:r>
        <w:rPr>
          <w:rFonts w:ascii="Arial" w:hAnsi="Arial" w:cs="Arial"/>
          <w:color w:val="000000"/>
          <w:highlight w:val="cyan"/>
        </w:rPr>
        <w:tab/>
        <w:t>Los SBIA de riesgo alto cuentan con mecanismos de explicabilidad que permitan comprender los factores que influyeron en un resultado. Cuando un SBIA intervenga en decisiones que impacten en los derechos de los administrados, estos tienen derecho a recibir la explicación de los resultados, mediante mecanismos que permitan comprender los criterios y factores clave utilizados, en un lenguaje accesible.</w:t>
      </w:r>
    </w:p>
    <w:p w14:paraId="0B74DC59"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6.9.4</w:t>
      </w:r>
      <w:r>
        <w:rPr>
          <w:rFonts w:ascii="Arial" w:eastAsia="Arial" w:hAnsi="Arial" w:cs="Arial"/>
          <w:color w:val="000000"/>
          <w:highlight w:val="yellow"/>
        </w:rPr>
        <w:tab/>
        <w:t>El funcionario no debe sustentar la motivación de actos administrativos exclusivamente en resultados de un SBIA. El funcionario debe incorporar su análisis y criterio profesional.</w:t>
      </w:r>
    </w:p>
    <w:p w14:paraId="1D36064B"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rPr>
        <w:t>6.9.5</w:t>
      </w:r>
      <w:r>
        <w:rPr>
          <w:rFonts w:ascii="Arial" w:eastAsia="Arial" w:hAnsi="Arial" w:cs="Arial"/>
          <w:color w:val="000000"/>
        </w:rPr>
        <w:tab/>
        <w:t>La Comisión de Gobierno de IA presenta al CGTD un informe trimestral con: estado del Inventario, incidentes, resultados de monitoreo, avance de capacitación y cumplimiento de indicadores.</w:t>
      </w:r>
    </w:p>
    <w:p w14:paraId="3C9C3B6B"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6.9.6</w:t>
      </w:r>
      <w:r>
        <w:rPr>
          <w:rFonts w:ascii="Arial" w:eastAsia="Arial" w:hAnsi="Arial" w:cs="Arial"/>
          <w:color w:val="000000"/>
          <w:highlight w:val="yellow"/>
        </w:rPr>
        <w:tab/>
        <w:t>El CGTD presenta un informe anual a la SN sobre el estado del gobierno de IA institucional, en ejercicio de su responsabilidad de liderar, dirigir, evaluar y supervisar los proyectos de SBIA estratégicos</w:t>
      </w:r>
      <w:r>
        <w:rPr>
          <w:rStyle w:val="Refdenotaalpie"/>
        </w:rPr>
        <w:footnoteReference w:id="12"/>
      </w:r>
      <w:r>
        <w:rPr>
          <w:rFonts w:ascii="Arial" w:eastAsia="Arial" w:hAnsi="Arial" w:cs="Arial"/>
          <w:color w:val="000000"/>
          <w:highlight w:val="yellow"/>
        </w:rPr>
        <w:t>. Dicho informe sirve de insumo para la información que la SUNAT remita a la SGTD.</w:t>
      </w:r>
    </w:p>
    <w:p w14:paraId="50A05F59"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6.9.7</w:t>
      </w:r>
      <w:r>
        <w:rPr>
          <w:rFonts w:ascii="Arial" w:eastAsia="Arial" w:hAnsi="Arial" w:cs="Arial"/>
          <w:color w:val="000000"/>
          <w:highlight w:val="yellow"/>
        </w:rPr>
        <w:tab/>
        <w:t>Los lineamientos sobre Transparencia Algorítmica que apruebe la SGTD</w:t>
      </w:r>
      <w:r>
        <w:rPr>
          <w:rStyle w:val="Refdenotaalpie"/>
        </w:rPr>
        <w:footnoteReference w:id="13"/>
      </w:r>
      <w:r>
        <w:rPr>
          <w:rFonts w:ascii="Arial" w:eastAsia="Arial" w:hAnsi="Arial" w:cs="Arial"/>
          <w:color w:val="000000"/>
          <w:highlight w:val="yellow"/>
        </w:rPr>
        <w:t xml:space="preserve"> son de aplicación en la SUNAT desde su entrada en vigencia. La Comisión de Gobierno de IA evalúa su impacto en la presente directiva y propone al CGTD los ajustes que correspondan.</w:t>
      </w:r>
    </w:p>
    <w:p w14:paraId="3376AD41" w14:textId="77777777" w:rsidR="00863A18" w:rsidRPr="00923C59" w:rsidRDefault="00863A18" w:rsidP="00B23382">
      <w:pPr>
        <w:pStyle w:val="SubtituloDONI"/>
        <w:spacing w:line="276" w:lineRule="auto"/>
        <w:ind w:left="851"/>
      </w:pPr>
      <w:r>
        <w:t>6.10</w:t>
      </w:r>
      <w:r>
        <w:tab/>
        <w:t>Del monitoreo, auditoría y mejora continua</w:t>
      </w:r>
    </w:p>
    <w:p w14:paraId="6AE15ADF"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6.10.1</w:t>
      </w:r>
      <w:r>
        <w:rPr>
          <w:rFonts w:ascii="Arial" w:eastAsia="Arial" w:hAnsi="Arial" w:cs="Arial"/>
          <w:color w:val="000000"/>
          <w:highlight w:val="yellow"/>
        </w:rPr>
        <w:tab/>
        <w:t>La Comisión de Gobierno de IA define la frecuencia de monitoreo según el nivel de riesgo:</w:t>
      </w:r>
    </w:p>
    <w:p w14:paraId="6268090E" w14:textId="77777777" w:rsidR="0018147B" w:rsidRDefault="00000000">
      <w:pPr>
        <w:pStyle w:val="Prrafodelista"/>
        <w:numPr>
          <w:ilvl w:val="0"/>
          <w:numId w:val="11"/>
        </w:numPr>
        <w:spacing w:before="0" w:after="60" w:line="276" w:lineRule="auto"/>
        <w:ind w:left="1701"/>
        <w:rPr>
          <w:b w:val="0"/>
          <w:bCs w:val="0"/>
          <w:color w:val="000000"/>
        </w:rPr>
      </w:pPr>
      <w:r>
        <w:rPr>
          <w:b w:val="0"/>
          <w:bCs w:val="0"/>
          <w:color w:val="000000"/>
          <w:highlight w:val="yellow"/>
        </w:rPr>
        <w:t>Riesgo alto: monitoreo continuo automatizado con revisión humana semanal y revisión integral trimestral.</w:t>
      </w:r>
    </w:p>
    <w:p w14:paraId="4C305B97" w14:textId="77777777" w:rsidR="0018147B" w:rsidRDefault="00000000">
      <w:pPr>
        <w:pStyle w:val="Prrafodelista"/>
        <w:numPr>
          <w:ilvl w:val="0"/>
          <w:numId w:val="11"/>
        </w:numPr>
        <w:spacing w:before="0" w:after="60" w:line="276" w:lineRule="auto"/>
        <w:ind w:left="1701"/>
        <w:rPr>
          <w:b w:val="0"/>
          <w:bCs w:val="0"/>
          <w:color w:val="000000"/>
        </w:rPr>
      </w:pPr>
      <w:r>
        <w:rPr>
          <w:b w:val="0"/>
          <w:bCs w:val="0"/>
          <w:color w:val="000000"/>
          <w:highlight w:val="yellow"/>
        </w:rPr>
        <w:lastRenderedPageBreak/>
        <w:t>Riesgo aceptable-limitado: revisión mensual de indicadores y revisión integral semestral.</w:t>
      </w:r>
    </w:p>
    <w:p w14:paraId="76369335" w14:textId="77777777" w:rsidR="0018147B" w:rsidRDefault="00000000">
      <w:pPr>
        <w:pStyle w:val="Prrafodelista"/>
        <w:numPr>
          <w:ilvl w:val="0"/>
          <w:numId w:val="11"/>
        </w:numPr>
        <w:spacing w:before="0" w:after="60" w:line="276" w:lineRule="auto"/>
        <w:ind w:left="1701"/>
        <w:rPr>
          <w:b w:val="0"/>
          <w:bCs w:val="0"/>
          <w:color w:val="000000"/>
        </w:rPr>
      </w:pPr>
      <w:r>
        <w:rPr>
          <w:b w:val="0"/>
          <w:bCs w:val="0"/>
          <w:color w:val="000000"/>
          <w:highlight w:val="yellow"/>
        </w:rPr>
        <w:t>Riesgo aceptable-mínimo: revisión trimestral de indicadores y revisión integral anual.</w:t>
      </w:r>
    </w:p>
    <w:p w14:paraId="26BA52EA" w14:textId="77777777" w:rsidR="00467C46" w:rsidRPr="00923C59" w:rsidRDefault="00467C46" w:rsidP="00B23382">
      <w:pPr>
        <w:spacing w:after="0" w:line="276" w:lineRule="auto"/>
        <w:ind w:left="1276" w:hanging="720"/>
        <w:jc w:val="both"/>
        <w:rPr>
          <w:rFonts w:ascii="Arial" w:hAnsi="Arial" w:cs="Arial"/>
        </w:rPr>
      </w:pPr>
      <w:r>
        <w:rPr>
          <w:rFonts w:ascii="Arial" w:eastAsia="Arial" w:hAnsi="Arial" w:cs="Arial"/>
          <w:color w:val="000000"/>
        </w:rPr>
        <w:t>6.10.2</w:t>
      </w:r>
      <w:r>
        <w:rPr>
          <w:rFonts w:ascii="Arial" w:eastAsia="Arial" w:hAnsi="Arial" w:cs="Arial"/>
          <w:color w:val="000000"/>
        </w:rPr>
        <w:tab/>
        <w:t>La Comisión de Gobierno de IA define, para cada SBIA registrado en el Inventario, los indicadores de monitoreo que como mínimo incluyen: tasa de precisión, tasa de error, tiempo de respuesta, disponibilidad, detección de drift, indicadores de sesgo y tasa de intervención humana. El propietario del caso de uso, con apoyo del equipo técnico de la INSI, mide y reporta estos indicadores conforme a la frecuencia establecida en el numeral 6.10.1. La Comisión de Gobierno de IA consolida los resultados y los presenta al CGTD para su evaluación.</w:t>
      </w:r>
    </w:p>
    <w:p w14:paraId="550B9BD2" w14:textId="77777777" w:rsidR="00E67A73" w:rsidRDefault="00000000">
      <w:pPr>
        <w:spacing w:after="0" w:line="276" w:lineRule="auto"/>
        <w:ind w:left="1276" w:hanging="720"/>
        <w:jc w:val="both"/>
        <w:rPr>
          <w:rFonts w:ascii="Arial" w:hAnsi="Arial" w:cs="Arial"/>
        </w:rPr>
      </w:pPr>
      <w:r>
        <w:rPr>
          <w:rFonts w:ascii="Arial" w:eastAsia="Arial" w:hAnsi="Arial" w:cs="Arial"/>
          <w:color w:val="000000"/>
          <w:highlight w:val="yellow"/>
        </w:rPr>
        <w:t>6.10.3</w:t>
      </w:r>
      <w:r>
        <w:rPr>
          <w:rFonts w:ascii="Arial" w:eastAsia="Arial" w:hAnsi="Arial" w:cs="Arial"/>
          <w:color w:val="000000"/>
          <w:highlight w:val="yellow"/>
        </w:rPr>
        <w:tab/>
        <w:t>La Gerencia de Calidad de Sistemas conduce el control y aseguramiento de la calidad de los SBIA, conforme a sus funciones (artículos 123 y 124, literal a, del ROF). La verificación y validación de la calidad, incluida la ejecución de las pruebas funcionales y no funcionales, corresponde a la División de Control de Calidad, conforme a sus funciones (artículos 125 y 126, literal a, del ROF), y comprende además las pruebas de rendimiento y de regresión que correspondan al tipo de SBIA.</w:t>
      </w:r>
    </w:p>
    <w:p w14:paraId="3965A5B3" w14:textId="77777777" w:rsidR="0018147B" w:rsidRDefault="00000000" w:rsidP="00AE1F2D">
      <w:pPr>
        <w:spacing w:after="0" w:line="276" w:lineRule="auto"/>
        <w:ind w:left="1276"/>
        <w:jc w:val="both"/>
        <w:rPr>
          <w:rFonts w:ascii="Arial" w:hAnsi="Arial" w:cs="Arial"/>
        </w:rPr>
      </w:pPr>
      <w:r>
        <w:rPr>
          <w:rFonts w:ascii="Arial" w:eastAsia="Arial" w:hAnsi="Arial" w:cs="Arial"/>
          <w:color w:val="000000"/>
          <w:highlight w:val="yellow"/>
        </w:rPr>
        <w:t>El análisis de riesgo y las pruebas de vulnerabilidad sobre cada SBIA corresponden a la Oficina de Seguridad Informática, conforme a la etapa de certificación y validación del numeral 6.1.1. Con la concurrencia de ambas actividades y del monitoreo previsto en el numeral 6.10, la SUNAT satisface la obligación de auditorías de seguridad digital del literal c) del artículo 29 del RLIA.</w:t>
      </w:r>
    </w:p>
    <w:p w14:paraId="0B9298C6" w14:textId="77777777" w:rsidR="0018147B" w:rsidRDefault="00000000" w:rsidP="00AE1F2D">
      <w:pPr>
        <w:spacing w:after="0" w:line="276" w:lineRule="auto"/>
        <w:ind w:left="1276"/>
        <w:jc w:val="both"/>
        <w:rPr>
          <w:rFonts w:ascii="Arial" w:hAnsi="Arial" w:cs="Arial"/>
        </w:rPr>
      </w:pPr>
      <w:r>
        <w:rPr>
          <w:rFonts w:ascii="Arial" w:eastAsia="Arial" w:hAnsi="Arial" w:cs="Arial"/>
          <w:color w:val="000000"/>
          <w:highlight w:val="yellow"/>
        </w:rPr>
        <w:t>Los resultados de las auditorías alimentan el informe trimestral de la Comisión de Gobierno de IA al CGTD.</w:t>
      </w:r>
    </w:p>
    <w:p w14:paraId="11FBA81E" w14:textId="3B7FE931"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uso responsable</w:t>
      </w:r>
      <w:r w:rsidR="005F24C2">
        <w:rPr>
          <w:rFonts w:ascii="Arial" w:hAnsi="Arial" w:cs="Arial"/>
          <w:b/>
          <w:bCs/>
          <w:color w:val="1B3A5B"/>
          <w:sz w:val="24"/>
          <w:szCs w:val="24"/>
          <w:highlight w:val="cyan"/>
        </w:rPr>
        <w:t xml:space="preserve"> y ético, de </w:t>
      </w:r>
      <w:r w:rsidR="005F24C2" w:rsidRPr="005F24C2">
        <w:rPr>
          <w:rFonts w:ascii="Arial" w:hAnsi="Arial" w:cs="Arial"/>
          <w:b/>
          <w:bCs/>
          <w:color w:val="1B3A5B"/>
          <w:sz w:val="24"/>
          <w:szCs w:val="24"/>
          <w:highlight w:val="cyan"/>
        </w:rPr>
        <w:t>las</w:t>
      </w:r>
      <w:r w:rsidRPr="005F24C2">
        <w:rPr>
          <w:rFonts w:ascii="Arial" w:hAnsi="Arial" w:cs="Arial"/>
          <w:b/>
          <w:bCs/>
          <w:color w:val="1B3A5B"/>
          <w:sz w:val="24"/>
          <w:szCs w:val="24"/>
          <w:highlight w:val="cyan"/>
        </w:rPr>
        <w:t xml:space="preserve"> </w:t>
      </w:r>
      <w:r w:rsidR="005F24C2" w:rsidRPr="005F24C2">
        <w:rPr>
          <w:rFonts w:ascii="Arial" w:hAnsi="Arial" w:cs="Arial"/>
          <w:b/>
          <w:bCs/>
          <w:color w:val="1B3A5B"/>
          <w:sz w:val="24"/>
          <w:szCs w:val="24"/>
          <w:highlight w:val="cyan"/>
        </w:rPr>
        <w:t>capacidades y proveedores</w:t>
      </w:r>
    </w:p>
    <w:p w14:paraId="7E6D459C" w14:textId="77777777" w:rsidR="00863A18" w:rsidRPr="00923C59" w:rsidRDefault="00863A18" w:rsidP="00B23382">
      <w:pPr>
        <w:pStyle w:val="SubtituloDONI"/>
        <w:spacing w:line="276" w:lineRule="auto"/>
        <w:ind w:left="851"/>
      </w:pPr>
      <w:r>
        <w:t>6.11</w:t>
      </w:r>
      <w:r>
        <w:tab/>
        <w:t>Del uso responsable de herramientas de IA</w:t>
      </w:r>
    </w:p>
    <w:p w14:paraId="41147326"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6.11.1</w:t>
      </w:r>
      <w:r>
        <w:rPr>
          <w:rFonts w:ascii="Arial" w:eastAsia="Arial" w:hAnsi="Arial" w:cs="Arial"/>
          <w:color w:val="000000"/>
        </w:rPr>
        <w:tab/>
        <w:t xml:space="preserve">Los colaboradores que utilicen herramientas de IA generativa </w:t>
      </w:r>
      <w:r>
        <w:rPr>
          <w:rFonts w:ascii="Arial" w:eastAsia="Arial" w:hAnsi="Arial" w:cs="Arial"/>
          <w:highlight w:val="cyan"/>
        </w:rPr>
        <w:t xml:space="preserve">deben cumplir </w:t>
      </w:r>
      <w:r>
        <w:rPr>
          <w:rFonts w:ascii="Arial" w:eastAsia="Arial" w:hAnsi="Arial" w:cs="Arial"/>
          <w:color w:val="000000"/>
        </w:rPr>
        <w:t>las siguientes reglas:</w:t>
      </w:r>
    </w:p>
    <w:p w14:paraId="48924DD9" w14:textId="77777777" w:rsidR="0018147B" w:rsidRPr="00F9075F" w:rsidRDefault="00000000">
      <w:pPr>
        <w:pStyle w:val="Prrafodelista"/>
        <w:numPr>
          <w:ilvl w:val="0"/>
          <w:numId w:val="5"/>
        </w:numPr>
        <w:spacing w:before="0" w:after="40" w:line="276" w:lineRule="auto"/>
        <w:ind w:left="1701"/>
        <w:rPr>
          <w:b w:val="0"/>
          <w:bCs w:val="0"/>
        </w:rPr>
      </w:pPr>
      <w:r>
        <w:rPr>
          <w:b w:val="0"/>
          <w:bCs w:val="0"/>
          <w:color w:val="000000"/>
          <w:highlight w:val="cyan"/>
        </w:rPr>
        <w:t>No ingresar información sujeta a reserva tributaria ni datos personales de contribuyentes u operadores aduaneros en herramientas de IA que no estén autorizadas para ese tratamiento en el catálogo institucional. El catálogo indica, para cada herramienta, los tipos de información que puede procesar. El tratamiento de información sujeta a reserva tributaria se rige por el numeral 6.7.3.</w:t>
      </w:r>
    </w:p>
    <w:p w14:paraId="2FC15DE4" w14:textId="77777777" w:rsidR="0018147B" w:rsidRPr="00F9075F" w:rsidRDefault="00000000">
      <w:pPr>
        <w:pStyle w:val="Prrafodelista"/>
        <w:numPr>
          <w:ilvl w:val="0"/>
          <w:numId w:val="5"/>
        </w:numPr>
        <w:spacing w:after="40" w:line="276" w:lineRule="auto"/>
        <w:ind w:left="1701"/>
        <w:rPr>
          <w:b w:val="0"/>
          <w:bCs w:val="0"/>
        </w:rPr>
      </w:pPr>
      <w:r>
        <w:rPr>
          <w:b w:val="0"/>
          <w:bCs w:val="0"/>
          <w:color w:val="000000"/>
          <w:highlight w:val="cyan"/>
        </w:rPr>
        <w:t>No utilizar herramientas de IA externas que no figuren en el catálogo institucional.</w:t>
      </w:r>
    </w:p>
    <w:p w14:paraId="283BC86D"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resultados de IA como producto final sin revisión humana.</w:t>
      </w:r>
    </w:p>
    <w:p w14:paraId="1884B3D9"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Declarar el uso de IA en la elaboración de informes o documentos con impacto en decisiones administrativas.</w:t>
      </w:r>
    </w:p>
    <w:p w14:paraId="35F452CA"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lastRenderedPageBreak/>
        <w:t>No utilizar herramientas de IA para eludir controles internos o procedimientos establecidos.</w:t>
      </w:r>
    </w:p>
    <w:p w14:paraId="7918E9BE"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6.11.2</w:t>
      </w:r>
      <w:r>
        <w:rPr>
          <w:rFonts w:ascii="Arial" w:eastAsia="Arial" w:hAnsi="Arial" w:cs="Arial"/>
          <w:color w:val="000000"/>
          <w:highlight w:val="yellow"/>
        </w:rPr>
        <w:tab/>
        <w:t>El catálogo de herramientas de IA autorizadas para uso institucional registra las herramientas aprobadas conforme al numeral 6.11.5. El catálogo precisa, para cada herramienta, el ámbito de uso autorizado (uso administrativo general o uso restringido) y si su empleo con información sujeta a reserva tributaria está permitido, en concordancia con los numerales 6.11.1 y 6.7.3. La INSI lo publica y lo mantiene actualizado.</w:t>
      </w:r>
    </w:p>
    <w:p w14:paraId="4BCC2079" w14:textId="77777777" w:rsidR="00682244"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6.11.3</w:t>
      </w:r>
      <w:r>
        <w:rPr>
          <w:rFonts w:ascii="Arial" w:eastAsia="Arial" w:hAnsi="Arial" w:cs="Arial"/>
          <w:color w:val="000000"/>
        </w:rPr>
        <w:tab/>
        <w:t>La INSI aprueba y mantiene los lineamientos técnicos que regulan el uso de LLM open source en su infraestructura. Las unidades de organización los cumplen como condición para el despliegue de estos modelos.</w:t>
      </w:r>
      <w:r>
        <w:rPr>
          <w:rFonts w:ascii="Arial" w:eastAsia="Arial" w:hAnsi="Arial" w:cs="Arial"/>
          <w:color w:val="000000"/>
          <w:highlight w:val="cyan"/>
        </w:rPr>
        <w:t xml:space="preserve"> El despliegue de estos modelos observa, en lo que corresponda, el Procedimiento para el Registro, Control y Retiro de Software de la SUNAT (A-03.3.2-PR-01).</w:t>
      </w:r>
    </w:p>
    <w:p w14:paraId="7106A4EF"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6.11.4</w:t>
      </w:r>
      <w:r>
        <w:rPr>
          <w:rFonts w:ascii="Arial" w:eastAsia="Arial" w:hAnsi="Arial" w:cs="Arial"/>
          <w:color w:val="000000"/>
          <w:highlight w:val="yellow"/>
        </w:rPr>
        <w:tab/>
        <w:t>Ninguna unidad organizacional desarrolla, adquiere, contrata, implementa u opera SBIA fuera del límite de la presente directiva, independientemente de su complejidad, presupuesto o ámbito geográfico. En particular: (a) toda iniciativa de SBIA como proyecto requiere aprobación conforme al ciclo de vida del numeral 6.1 y registro en el Inventario Institucional; (b) toda contratación de servicios de IA como herramienta (suscripciones, APIs, plataformas SaaS) requiere autorización previa de la INSI e inclusión en el catálogo institucional (numeral 6.11.2). Los colaboradores utilizan exclusivamente las herramientas de IA que figuran en dicho catálogo. La Comisión de Gobierno de IA promueve la regularización mediante el registro y el acompañamiento proporcional a la unidad involucrada. Los incumplimientos reiterados o que impliquen uso indebido se comunican al CGTD y, según corresponda, a la OII.</w:t>
      </w:r>
    </w:p>
    <w:p w14:paraId="26F26301" w14:textId="77777777" w:rsidR="000153F0" w:rsidRDefault="00000000">
      <w:pPr>
        <w:spacing w:after="60" w:line="276" w:lineRule="auto"/>
        <w:ind w:left="1276" w:hanging="720"/>
        <w:jc w:val="both"/>
        <w:rPr>
          <w:rFonts w:ascii="Arial" w:eastAsia="Arial" w:hAnsi="Arial" w:cs="Arial"/>
          <w:color w:val="000000"/>
        </w:rPr>
      </w:pPr>
      <w:r>
        <w:rPr>
          <w:rFonts w:ascii="Arial" w:hAnsi="Arial" w:cs="Arial"/>
          <w:color w:val="000000"/>
          <w:highlight w:val="cyan"/>
        </w:rPr>
        <w:t>6.11.5</w:t>
      </w:r>
      <w:r>
        <w:rPr>
          <w:rFonts w:ascii="Arial" w:hAnsi="Arial" w:cs="Arial"/>
          <w:color w:val="000000"/>
          <w:highlight w:val="cyan"/>
        </w:rPr>
        <w:tab/>
        <w:t>La GA aprueba las herramientas de IA que pueden emplearse en la SUNAT, conforme a sus funciones (artículo 130, literal c, del ROF), y las registra en el catálogo institucional de herramientas de IA. La Gerencia de Operaciones y Soporte a Usuarios asegura que los equipos informáticos tengan instalado únicamente software autorizado. El catálogo institucional de herramientas de IA constituye el subconjunto de inteligencia artificial del inventario de software autorizado; ambos se distinguen del Inventario de SBIA (Anexo N.° 1), que registra los sistemas basados en IA y no las herramientas.</w:t>
      </w:r>
      <w:r>
        <w:rPr>
          <w:rFonts w:ascii="Arial" w:eastAsia="Arial" w:hAnsi="Arial" w:cs="Arial"/>
          <w:color w:val="000000"/>
          <w:highlight w:val="cyan"/>
        </w:rPr>
        <w:t xml:space="preserve"> El registro, el control y el retiro de las herramientas de IA como software se rigen por el Procedimiento para el Registro, Control y Retiro de Software de la SUNAT (A-03.3.2-PR-01).</w:t>
      </w:r>
    </w:p>
    <w:p w14:paraId="6CEA57C6" w14:textId="77777777" w:rsidR="005F24C2" w:rsidRDefault="005F24C2">
      <w:pPr>
        <w:spacing w:after="60" w:line="276" w:lineRule="auto"/>
        <w:ind w:left="1276" w:hanging="720"/>
        <w:jc w:val="both"/>
        <w:rPr>
          <w:rFonts w:ascii="Arial" w:eastAsia="Arial" w:hAnsi="Arial" w:cs="Arial"/>
          <w:color w:val="000000"/>
        </w:rPr>
      </w:pPr>
    </w:p>
    <w:p w14:paraId="3BCCF2B5" w14:textId="77777777" w:rsidR="00863A18" w:rsidRPr="00923C59" w:rsidRDefault="00863A18" w:rsidP="00B23382">
      <w:pPr>
        <w:pStyle w:val="SubtituloDONI"/>
        <w:spacing w:line="276" w:lineRule="auto"/>
        <w:ind w:left="851"/>
      </w:pPr>
      <w:r>
        <w:t>6.12</w:t>
      </w:r>
      <w:r>
        <w:tab/>
        <w:t>De la gestión de proveedores de IA</w:t>
      </w:r>
    </w:p>
    <w:p w14:paraId="4087DF53"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6.12.1</w:t>
      </w:r>
      <w:r>
        <w:rPr>
          <w:rFonts w:ascii="Arial" w:eastAsia="Arial" w:hAnsi="Arial" w:cs="Arial"/>
          <w:color w:val="000000"/>
        </w:rPr>
        <w:tab/>
        <w:t>La adquisición de SBIA incluye en los TDR o EETT los requisitos de cumplimiento de la presente directiva y normativa aplicable.</w:t>
      </w:r>
    </w:p>
    <w:p w14:paraId="378F3743"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6.12.2</w:t>
      </w:r>
      <w:r>
        <w:rPr>
          <w:rFonts w:ascii="Arial" w:eastAsia="Arial" w:hAnsi="Arial" w:cs="Arial"/>
          <w:color w:val="000000"/>
          <w:highlight w:val="yellow"/>
        </w:rPr>
        <w:tab/>
        <w:t xml:space="preserve">Los contratos incluyen cláusulas sobre: (a) protección de datos y reserva tributaria; (b) transparencia del modelo; (c) comunicación de vulnerabilidades e incidentes; (d) derecho de auditoría, incluida la realización de auditorías éticas </w:t>
      </w:r>
      <w:r>
        <w:rPr>
          <w:rFonts w:ascii="Arial" w:eastAsia="Arial" w:hAnsi="Arial" w:cs="Arial"/>
          <w:color w:val="000000"/>
          <w:highlight w:val="yellow"/>
        </w:rPr>
        <w:lastRenderedPageBreak/>
        <w:t>y de sesgo sobre el modelo; (e) transferencia de conocimiento; (f) cumplimiento de estándares técnicos. El plazo de notificación de vulnerabilidades se define en los TDR o EETT de cada contratación, según la criticidad del SBIA.</w:t>
      </w:r>
    </w:p>
    <w:p w14:paraId="0C47E374"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6.12.3</w:t>
      </w:r>
      <w:r>
        <w:rPr>
          <w:rFonts w:ascii="Arial" w:eastAsia="Arial" w:hAnsi="Arial" w:cs="Arial"/>
          <w:color w:val="000000"/>
        </w:rPr>
        <w:tab/>
        <w:t>Para SBIA SaaS, la INSI verifica la compatibilidad de los términos de uso con las obligaciones de SUNAT en materia de datos y reserva tributaria.</w:t>
      </w:r>
    </w:p>
    <w:p w14:paraId="3CED9203"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6.12.4</w:t>
      </w:r>
      <w:r>
        <w:rPr>
          <w:rFonts w:ascii="Arial" w:eastAsia="Arial" w:hAnsi="Arial" w:cs="Arial"/>
          <w:color w:val="000000"/>
          <w:highlight w:val="yellow"/>
        </w:rPr>
        <w:tab/>
        <w:t>Los contratos prohíben al proveedor emplear la información de la SUNAT (en particular la sujeta a reserva tributaria y los datos personales) para entrenar, ajustar o mejorar sus modelos o para cualquier fin propio, en concordancia con el artículo 85 del Código Tributario, que extiende la obligación de reserva a quienes accedan a dicha información. La propiedad intelectual de los ajustes (fine-tuning) realizados con información o para necesidades de la SUNAT corresponde a la SUNAT.</w:t>
      </w:r>
    </w:p>
    <w:p w14:paraId="010751C3"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6.12.5</w:t>
      </w:r>
      <w:r>
        <w:rPr>
          <w:rFonts w:ascii="Arial" w:eastAsia="Arial" w:hAnsi="Arial" w:cs="Arial"/>
          <w:color w:val="000000"/>
          <w:highlight w:val="yellow"/>
        </w:rPr>
        <w:tab/>
        <w:t>Para los SBIA de riesgo alto, el proveedor entrega la documentación técnica que permita comprender la lógica general del modelo y los factores que influyen en sus resultados, en la medida necesaria para el cumplimiento de las obligaciones de transparencia y explicabilidad de la SUNAT, evitando soluciones de caja negra no auditables.</w:t>
      </w:r>
    </w:p>
    <w:p w14:paraId="10D8630F" w14:textId="77777777" w:rsidR="00863A18" w:rsidRPr="00833CDE" w:rsidRDefault="00863A18" w:rsidP="00B23382">
      <w:pPr>
        <w:pStyle w:val="SubtituloDONI"/>
        <w:spacing w:line="276" w:lineRule="auto"/>
        <w:ind w:left="851"/>
        <w:rPr>
          <w:highlight w:val="lightGray"/>
        </w:rPr>
      </w:pPr>
      <w:r w:rsidRPr="00833CDE">
        <w:rPr>
          <w:highlight w:val="lightGray"/>
        </w:rPr>
        <w:t>6.13</w:t>
      </w:r>
      <w:r w:rsidRPr="00833CDE">
        <w:rPr>
          <w:highlight w:val="lightGray"/>
        </w:rPr>
        <w:tab/>
        <w:t>De la sensibilización, educación y capacitación</w:t>
      </w:r>
    </w:p>
    <w:p w14:paraId="02AA9A87" w14:textId="77777777" w:rsidR="00462A57" w:rsidRPr="00833CDE" w:rsidRDefault="00462A57" w:rsidP="00462A57">
      <w:pPr>
        <w:spacing w:line="276" w:lineRule="auto"/>
        <w:ind w:left="851"/>
        <w:jc w:val="both"/>
        <w:rPr>
          <w:rFonts w:ascii="Arial" w:eastAsia="Arial" w:hAnsi="Arial" w:cs="Arial"/>
          <w:color w:val="000000"/>
          <w:highlight w:val="lightGray"/>
        </w:rPr>
      </w:pPr>
      <w:r w:rsidRPr="00833CDE">
        <w:rPr>
          <w:rFonts w:ascii="Arial" w:eastAsia="Arial" w:hAnsi="Arial" w:cs="Arial"/>
          <w:color w:val="000000"/>
          <w:highlight w:val="lightGray"/>
        </w:rPr>
        <w:t>La Intendencia Nacional de Recursos Humanos conduce las acciones de sensibilización, capacitación y gestión del cambio vinculadas al uso de sistemas basados en inteligencia artificial, de conformidad con las funciones establecidas en el Reglamento de Organización y Funciones de la SUNAT y con el apoyo técnico de la Comisión de Gobierno de IA.</w:t>
      </w:r>
    </w:p>
    <w:p w14:paraId="65F6E8E9" w14:textId="7EEC5B38" w:rsidR="00462A57" w:rsidRPr="00833CDE" w:rsidRDefault="00462A57" w:rsidP="00462A57">
      <w:pPr>
        <w:spacing w:line="276" w:lineRule="auto"/>
        <w:ind w:left="851" w:hanging="284"/>
        <w:jc w:val="both"/>
        <w:rPr>
          <w:rFonts w:ascii="Arial" w:eastAsia="Arial" w:hAnsi="Arial" w:cs="Arial"/>
          <w:color w:val="000000"/>
          <w:highlight w:val="lightGray"/>
        </w:rPr>
      </w:pPr>
      <w:r w:rsidRPr="00833CDE">
        <w:rPr>
          <w:rFonts w:ascii="Arial" w:eastAsia="Arial" w:hAnsi="Arial" w:cs="Arial"/>
          <w:color w:val="000000"/>
          <w:highlight w:val="lightGray"/>
        </w:rPr>
        <w:t>6.</w:t>
      </w:r>
      <w:r w:rsidRPr="00833CDE">
        <w:rPr>
          <w:rFonts w:ascii="Arial" w:eastAsia="Arial" w:hAnsi="Arial" w:cs="Arial"/>
          <w:color w:val="000000"/>
          <w:highlight w:val="lightGray"/>
        </w:rPr>
        <w:t>13</w:t>
      </w:r>
      <w:r w:rsidRPr="00833CDE">
        <w:rPr>
          <w:rFonts w:ascii="Arial" w:eastAsia="Arial" w:hAnsi="Arial" w:cs="Arial"/>
          <w:color w:val="000000"/>
          <w:highlight w:val="lightGray"/>
        </w:rPr>
        <w:t>.1 Sensibilización</w:t>
      </w:r>
    </w:p>
    <w:p w14:paraId="4C521181" w14:textId="77777777" w:rsidR="00462A57" w:rsidRPr="00833CDE" w:rsidRDefault="00462A57" w:rsidP="00462A57">
      <w:pPr>
        <w:spacing w:line="276" w:lineRule="auto"/>
        <w:ind w:left="851"/>
        <w:jc w:val="both"/>
        <w:rPr>
          <w:rFonts w:ascii="Arial" w:eastAsia="Arial" w:hAnsi="Arial" w:cs="Arial"/>
          <w:color w:val="000000"/>
          <w:highlight w:val="lightGray"/>
        </w:rPr>
      </w:pPr>
      <w:r w:rsidRPr="00833CDE">
        <w:rPr>
          <w:rFonts w:ascii="Arial" w:eastAsia="Arial" w:hAnsi="Arial" w:cs="Arial"/>
          <w:color w:val="000000"/>
          <w:highlight w:val="lightGray"/>
        </w:rPr>
        <w:t>Todo el personal de la SUNAT vinculado al diseño, desarrollo, implementación, evaluación o uso de sistemas basados en IA es sensibilizado respecto del uso seguro, responsable y ético de dichos sistemas, así como de los riesgos asociados y de las disposiciones establecidas en la Política de uso seguro, responsable y ético de los sistemas basados en IA de la SUNAT.</w:t>
      </w:r>
    </w:p>
    <w:p w14:paraId="03767110" w14:textId="77777777" w:rsidR="00462A57" w:rsidRPr="00833CDE" w:rsidRDefault="00462A57" w:rsidP="00462A57">
      <w:pPr>
        <w:spacing w:line="276" w:lineRule="auto"/>
        <w:ind w:left="851"/>
        <w:jc w:val="both"/>
        <w:rPr>
          <w:rFonts w:ascii="Arial" w:eastAsia="Arial" w:hAnsi="Arial" w:cs="Arial"/>
          <w:color w:val="000000"/>
          <w:highlight w:val="lightGray"/>
        </w:rPr>
      </w:pPr>
      <w:r w:rsidRPr="00833CDE">
        <w:rPr>
          <w:rFonts w:ascii="Arial" w:eastAsia="Arial" w:hAnsi="Arial" w:cs="Arial"/>
          <w:color w:val="000000"/>
          <w:highlight w:val="lightGray"/>
        </w:rPr>
        <w:t>Las acciones de sensibilización consideran, como mínimo:</w:t>
      </w:r>
    </w:p>
    <w:p w14:paraId="31E5E6A5" w14:textId="77777777" w:rsidR="00462A57" w:rsidRPr="00833CDE" w:rsidRDefault="00462A57" w:rsidP="00462A57">
      <w:pPr>
        <w:pStyle w:val="Prrafodelista"/>
        <w:numPr>
          <w:ilvl w:val="0"/>
          <w:numId w:val="26"/>
        </w:numPr>
        <w:spacing w:before="0" w:line="276" w:lineRule="auto"/>
        <w:ind w:left="1276"/>
        <w:rPr>
          <w:b w:val="0"/>
          <w:bCs w:val="0"/>
          <w:color w:val="000000"/>
          <w:highlight w:val="lightGray"/>
        </w:rPr>
      </w:pPr>
      <w:r w:rsidRPr="00833CDE">
        <w:rPr>
          <w:b w:val="0"/>
          <w:bCs w:val="0"/>
          <w:color w:val="000000"/>
          <w:highlight w:val="lightGray"/>
        </w:rPr>
        <w:t>La finalidad y los principios institucionales aplicables a los sistemas basados en IA.</w:t>
      </w:r>
    </w:p>
    <w:p w14:paraId="4379805E" w14:textId="77777777" w:rsidR="00462A57" w:rsidRPr="00833CDE" w:rsidRDefault="00462A57" w:rsidP="00462A57">
      <w:pPr>
        <w:pStyle w:val="Prrafodelista"/>
        <w:numPr>
          <w:ilvl w:val="0"/>
          <w:numId w:val="26"/>
        </w:numPr>
        <w:spacing w:before="0" w:line="276" w:lineRule="auto"/>
        <w:ind w:left="1276"/>
        <w:rPr>
          <w:b w:val="0"/>
          <w:bCs w:val="0"/>
          <w:color w:val="000000"/>
          <w:highlight w:val="lightGray"/>
        </w:rPr>
      </w:pPr>
      <w:r w:rsidRPr="00833CDE">
        <w:rPr>
          <w:b w:val="0"/>
          <w:bCs w:val="0"/>
          <w:color w:val="000000"/>
          <w:highlight w:val="lightGray"/>
        </w:rPr>
        <w:t>Los riesgos derivados de su diseño, desarrollo, implementación y uso.</w:t>
      </w:r>
    </w:p>
    <w:p w14:paraId="4C43874D" w14:textId="77777777" w:rsidR="00462A57" w:rsidRPr="00833CDE" w:rsidRDefault="00462A57" w:rsidP="00462A57">
      <w:pPr>
        <w:pStyle w:val="Prrafodelista"/>
        <w:numPr>
          <w:ilvl w:val="0"/>
          <w:numId w:val="26"/>
        </w:numPr>
        <w:spacing w:before="0" w:line="276" w:lineRule="auto"/>
        <w:ind w:left="1276"/>
        <w:rPr>
          <w:b w:val="0"/>
          <w:bCs w:val="0"/>
          <w:color w:val="000000"/>
          <w:highlight w:val="lightGray"/>
        </w:rPr>
      </w:pPr>
      <w:r w:rsidRPr="00833CDE">
        <w:rPr>
          <w:b w:val="0"/>
          <w:bCs w:val="0"/>
          <w:color w:val="000000"/>
          <w:highlight w:val="lightGray"/>
        </w:rPr>
        <w:t>La protección de los derechos fundamentales de los administrados y la prevención de sesgos o resultados discriminatorios.</w:t>
      </w:r>
    </w:p>
    <w:p w14:paraId="3C9A30B7" w14:textId="77777777" w:rsidR="00462A57" w:rsidRPr="00833CDE" w:rsidRDefault="00462A57" w:rsidP="00462A57">
      <w:pPr>
        <w:pStyle w:val="Prrafodelista"/>
        <w:numPr>
          <w:ilvl w:val="0"/>
          <w:numId w:val="26"/>
        </w:numPr>
        <w:spacing w:before="0" w:line="276" w:lineRule="auto"/>
        <w:ind w:left="1276"/>
        <w:rPr>
          <w:b w:val="0"/>
          <w:bCs w:val="0"/>
          <w:color w:val="000000"/>
          <w:highlight w:val="lightGray"/>
        </w:rPr>
      </w:pPr>
      <w:r w:rsidRPr="00833CDE">
        <w:rPr>
          <w:b w:val="0"/>
          <w:bCs w:val="0"/>
          <w:color w:val="000000"/>
          <w:highlight w:val="lightGray"/>
        </w:rPr>
        <w:t>La protección de la reserva tributaria, secreto comercial y demás obligaciones de confidencialidad aplicables.</w:t>
      </w:r>
    </w:p>
    <w:p w14:paraId="24701C8F" w14:textId="251548E5" w:rsidR="00462A57" w:rsidRPr="00833CDE" w:rsidRDefault="00462A57" w:rsidP="00462A57">
      <w:pPr>
        <w:pStyle w:val="Prrafodelista"/>
        <w:numPr>
          <w:ilvl w:val="0"/>
          <w:numId w:val="26"/>
        </w:numPr>
        <w:spacing w:before="0" w:line="276" w:lineRule="auto"/>
        <w:ind w:left="1276"/>
        <w:rPr>
          <w:b w:val="0"/>
          <w:bCs w:val="0"/>
          <w:color w:val="000000"/>
          <w:highlight w:val="lightGray"/>
        </w:rPr>
      </w:pPr>
      <w:r w:rsidRPr="00833CDE">
        <w:rPr>
          <w:b w:val="0"/>
          <w:bCs w:val="0"/>
          <w:color w:val="000000"/>
          <w:highlight w:val="lightGray"/>
        </w:rPr>
        <w:t>El impacto social y ambiental de los sistemas basados en IA.</w:t>
      </w:r>
    </w:p>
    <w:p w14:paraId="7C045AC2" w14:textId="77777777" w:rsidR="00462A57" w:rsidRPr="00833CDE" w:rsidRDefault="00462A57" w:rsidP="00462A57">
      <w:pPr>
        <w:spacing w:line="276" w:lineRule="auto"/>
        <w:ind w:left="851"/>
        <w:jc w:val="both"/>
        <w:rPr>
          <w:rFonts w:ascii="Arial" w:eastAsia="Arial" w:hAnsi="Arial" w:cs="Arial"/>
          <w:color w:val="000000"/>
          <w:highlight w:val="lightGray"/>
        </w:rPr>
      </w:pPr>
      <w:r w:rsidRPr="00833CDE">
        <w:rPr>
          <w:rFonts w:ascii="Arial" w:eastAsia="Arial" w:hAnsi="Arial" w:cs="Arial"/>
          <w:color w:val="000000"/>
          <w:highlight w:val="lightGray"/>
        </w:rPr>
        <w:t xml:space="preserve">Esta disposición incorpora los requerimientos establecidos en el numeral 28.9 del artículo 28 del Reglamento y adopta medidas adicionales de sensibilización </w:t>
      </w:r>
      <w:r w:rsidRPr="00833CDE">
        <w:rPr>
          <w:rFonts w:ascii="Arial" w:eastAsia="Arial" w:hAnsi="Arial" w:cs="Arial"/>
          <w:color w:val="000000"/>
          <w:highlight w:val="lightGray"/>
        </w:rPr>
        <w:lastRenderedPageBreak/>
        <w:t>orientadas a promover el uso seguro, responsable y ético de los sistemas basados en IA, en concordancia con el numeral 7.3 de la NTP-ISO/IEC 42001:2025.</w:t>
      </w:r>
    </w:p>
    <w:p w14:paraId="74A770FE" w14:textId="1AFAF2C5" w:rsidR="00462A57" w:rsidRPr="00833CDE" w:rsidRDefault="00462A57" w:rsidP="00462A57">
      <w:pPr>
        <w:spacing w:line="276" w:lineRule="auto"/>
        <w:ind w:left="851" w:hanging="284"/>
        <w:jc w:val="both"/>
        <w:rPr>
          <w:rFonts w:ascii="Arial" w:eastAsia="Arial" w:hAnsi="Arial" w:cs="Arial"/>
          <w:color w:val="000000"/>
          <w:highlight w:val="lightGray"/>
        </w:rPr>
      </w:pPr>
      <w:r w:rsidRPr="00833CDE">
        <w:rPr>
          <w:rFonts w:ascii="Arial" w:eastAsia="Arial" w:hAnsi="Arial" w:cs="Arial"/>
          <w:color w:val="000000"/>
          <w:highlight w:val="lightGray"/>
        </w:rPr>
        <w:t>6.</w:t>
      </w:r>
      <w:r w:rsidRPr="00833CDE">
        <w:rPr>
          <w:rFonts w:ascii="Arial" w:eastAsia="Arial" w:hAnsi="Arial" w:cs="Arial"/>
          <w:color w:val="000000"/>
          <w:highlight w:val="lightGray"/>
        </w:rPr>
        <w:t>13</w:t>
      </w:r>
      <w:r w:rsidRPr="00833CDE">
        <w:rPr>
          <w:rFonts w:ascii="Arial" w:eastAsia="Arial" w:hAnsi="Arial" w:cs="Arial"/>
          <w:color w:val="000000"/>
          <w:highlight w:val="lightGray"/>
        </w:rPr>
        <w:t>.2 Capacitación y fortalecimiento de capacidades</w:t>
      </w:r>
    </w:p>
    <w:p w14:paraId="56A6AAD2" w14:textId="77777777" w:rsidR="00462A57" w:rsidRPr="00833CDE" w:rsidRDefault="00462A57" w:rsidP="00462A57">
      <w:pPr>
        <w:spacing w:line="276" w:lineRule="auto"/>
        <w:ind w:left="851"/>
        <w:jc w:val="both"/>
        <w:rPr>
          <w:rFonts w:ascii="Arial" w:eastAsia="Arial" w:hAnsi="Arial" w:cs="Arial"/>
          <w:color w:val="000000"/>
          <w:highlight w:val="lightGray"/>
        </w:rPr>
      </w:pPr>
      <w:r w:rsidRPr="00833CDE">
        <w:rPr>
          <w:rFonts w:ascii="Arial" w:eastAsia="Arial" w:hAnsi="Arial" w:cs="Arial"/>
          <w:color w:val="000000"/>
          <w:highlight w:val="lightGray"/>
        </w:rPr>
        <w:t xml:space="preserve">La Intendencia Nacional de Recursos Humanos fortalece de manera progresiva y sistemática las capacidades y competencias de su personal en materia de sistemas basados en IA mediante acciones formativas. </w:t>
      </w:r>
    </w:p>
    <w:p w14:paraId="52F41F84" w14:textId="77777777" w:rsidR="00462A57" w:rsidRPr="00833CDE" w:rsidRDefault="00462A57" w:rsidP="00462A57">
      <w:pPr>
        <w:spacing w:line="276" w:lineRule="auto"/>
        <w:ind w:left="851"/>
        <w:jc w:val="both"/>
        <w:rPr>
          <w:rFonts w:ascii="Arial" w:eastAsia="Arial" w:hAnsi="Arial" w:cs="Arial"/>
          <w:color w:val="000000"/>
          <w:highlight w:val="lightGray"/>
        </w:rPr>
      </w:pPr>
      <w:r w:rsidRPr="00833CDE">
        <w:rPr>
          <w:rFonts w:ascii="Arial" w:eastAsia="Arial" w:hAnsi="Arial" w:cs="Arial"/>
          <w:color w:val="000000"/>
          <w:highlight w:val="lightGray"/>
        </w:rPr>
        <w:t>Las necesidades de capacitación asociadas a los distintos roles, los contenidos formativos, las modalidades de capacitación y los mecanismos de evaluación de resultados se determinan en el marco normativo del Plan de Desarrollo de las Personas.</w:t>
      </w:r>
    </w:p>
    <w:p w14:paraId="7A69F400" w14:textId="77777777" w:rsidR="00462A57" w:rsidRPr="00833CDE" w:rsidRDefault="00462A57" w:rsidP="00462A57">
      <w:pPr>
        <w:spacing w:line="276" w:lineRule="auto"/>
        <w:ind w:left="851"/>
        <w:jc w:val="both"/>
        <w:rPr>
          <w:rFonts w:ascii="Arial" w:eastAsia="Arial" w:hAnsi="Arial" w:cs="Arial"/>
          <w:color w:val="000000"/>
          <w:highlight w:val="lightGray"/>
        </w:rPr>
      </w:pPr>
      <w:r w:rsidRPr="00833CDE">
        <w:rPr>
          <w:rFonts w:ascii="Arial" w:eastAsia="Arial" w:hAnsi="Arial" w:cs="Arial"/>
          <w:color w:val="000000"/>
          <w:highlight w:val="lightGray"/>
        </w:rPr>
        <w:t>Estas acciones consideran, como mínimo:</w:t>
      </w:r>
    </w:p>
    <w:p w14:paraId="4DC2972A" w14:textId="77777777" w:rsidR="00462A57" w:rsidRPr="00833CDE" w:rsidRDefault="00462A57" w:rsidP="00462A57">
      <w:pPr>
        <w:pStyle w:val="Prrafodelista"/>
        <w:numPr>
          <w:ilvl w:val="0"/>
          <w:numId w:val="25"/>
        </w:numPr>
        <w:spacing w:before="0" w:line="276" w:lineRule="auto"/>
        <w:ind w:left="1276"/>
        <w:rPr>
          <w:b w:val="0"/>
          <w:bCs w:val="0"/>
          <w:color w:val="000000"/>
          <w:highlight w:val="lightGray"/>
        </w:rPr>
      </w:pPr>
      <w:r w:rsidRPr="00833CDE">
        <w:rPr>
          <w:b w:val="0"/>
          <w:bCs w:val="0"/>
          <w:color w:val="000000"/>
          <w:highlight w:val="lightGray"/>
        </w:rPr>
        <w:t>Los fundamentos y el ciclo de vida de los sistemas basados en IA.</w:t>
      </w:r>
    </w:p>
    <w:p w14:paraId="3D2E0724" w14:textId="77777777" w:rsidR="00462A57" w:rsidRPr="00833CDE" w:rsidRDefault="00462A57" w:rsidP="00462A57">
      <w:pPr>
        <w:pStyle w:val="Prrafodelista"/>
        <w:numPr>
          <w:ilvl w:val="0"/>
          <w:numId w:val="25"/>
        </w:numPr>
        <w:spacing w:before="0" w:line="276" w:lineRule="auto"/>
        <w:ind w:left="1276"/>
        <w:rPr>
          <w:b w:val="0"/>
          <w:bCs w:val="0"/>
          <w:color w:val="000000"/>
          <w:highlight w:val="lightGray"/>
        </w:rPr>
      </w:pPr>
      <w:r w:rsidRPr="00833CDE">
        <w:rPr>
          <w:b w:val="0"/>
          <w:bCs w:val="0"/>
          <w:color w:val="000000"/>
          <w:highlight w:val="lightGray"/>
        </w:rPr>
        <w:t>La gestión de riesgos y la seguridad de la información aplicables.</w:t>
      </w:r>
    </w:p>
    <w:p w14:paraId="29D4C499" w14:textId="77777777" w:rsidR="00462A57" w:rsidRPr="00833CDE" w:rsidRDefault="00462A57" w:rsidP="00462A57">
      <w:pPr>
        <w:pStyle w:val="Prrafodelista"/>
        <w:numPr>
          <w:ilvl w:val="0"/>
          <w:numId w:val="25"/>
        </w:numPr>
        <w:spacing w:before="0" w:line="276" w:lineRule="auto"/>
        <w:ind w:left="1276"/>
        <w:rPr>
          <w:b w:val="0"/>
          <w:bCs w:val="0"/>
          <w:color w:val="000000"/>
          <w:highlight w:val="lightGray"/>
        </w:rPr>
      </w:pPr>
      <w:r w:rsidRPr="00833CDE">
        <w:rPr>
          <w:b w:val="0"/>
          <w:bCs w:val="0"/>
          <w:color w:val="000000"/>
          <w:highlight w:val="lightGray"/>
        </w:rPr>
        <w:t>La ética, integridad y responsabilidad en el uso de la IA.</w:t>
      </w:r>
    </w:p>
    <w:p w14:paraId="6286F739" w14:textId="77777777" w:rsidR="00462A57" w:rsidRPr="00833CDE" w:rsidRDefault="00462A57" w:rsidP="00462A57">
      <w:pPr>
        <w:pStyle w:val="Prrafodelista"/>
        <w:numPr>
          <w:ilvl w:val="0"/>
          <w:numId w:val="25"/>
        </w:numPr>
        <w:spacing w:before="0" w:line="276" w:lineRule="auto"/>
        <w:ind w:left="1276"/>
        <w:rPr>
          <w:b w:val="0"/>
          <w:bCs w:val="0"/>
          <w:color w:val="000000"/>
          <w:highlight w:val="lightGray"/>
        </w:rPr>
      </w:pPr>
      <w:r w:rsidRPr="00833CDE">
        <w:rPr>
          <w:b w:val="0"/>
          <w:bCs w:val="0"/>
          <w:color w:val="000000"/>
          <w:highlight w:val="lightGray"/>
        </w:rPr>
        <w:t>La protección de datos personales.</w:t>
      </w:r>
    </w:p>
    <w:p w14:paraId="6EC73725" w14:textId="77777777" w:rsidR="00462A57" w:rsidRPr="00833CDE" w:rsidRDefault="00462A57" w:rsidP="00462A57">
      <w:pPr>
        <w:pStyle w:val="Prrafodelista"/>
        <w:numPr>
          <w:ilvl w:val="0"/>
          <w:numId w:val="25"/>
        </w:numPr>
        <w:spacing w:before="0" w:line="276" w:lineRule="auto"/>
        <w:ind w:left="1276"/>
        <w:rPr>
          <w:b w:val="0"/>
          <w:bCs w:val="0"/>
          <w:color w:val="000000"/>
          <w:highlight w:val="lightGray"/>
        </w:rPr>
      </w:pPr>
      <w:r w:rsidRPr="00833CDE">
        <w:rPr>
          <w:b w:val="0"/>
          <w:bCs w:val="0"/>
          <w:color w:val="000000"/>
          <w:highlight w:val="lightGray"/>
        </w:rPr>
        <w:t>La protección de la reserva tributaria cuando los sistemas procesen información de los administrados.</w:t>
      </w:r>
    </w:p>
    <w:p w14:paraId="6B9B86CB" w14:textId="77777777" w:rsidR="00462A57" w:rsidRPr="00833CDE" w:rsidRDefault="00462A57" w:rsidP="00462A57">
      <w:pPr>
        <w:spacing w:line="276" w:lineRule="auto"/>
        <w:ind w:left="851"/>
        <w:jc w:val="both"/>
        <w:rPr>
          <w:rFonts w:ascii="Arial" w:eastAsia="Arial" w:hAnsi="Arial" w:cs="Arial"/>
          <w:color w:val="000000"/>
          <w:highlight w:val="lightGray"/>
        </w:rPr>
      </w:pPr>
      <w:r w:rsidRPr="00833CDE">
        <w:rPr>
          <w:rFonts w:ascii="Arial" w:eastAsia="Arial" w:hAnsi="Arial" w:cs="Arial"/>
          <w:color w:val="000000"/>
          <w:highlight w:val="lightGray"/>
        </w:rPr>
        <w:t>Esta disposición se implementa conforme al numeral 28.5 del artículo 28 del Reglamento y en concordancia con el numeral 7.2 y el Anexo A.4 de la NTP</w:t>
      </w:r>
      <w:r w:rsidRPr="00833CDE">
        <w:rPr>
          <w:rFonts w:ascii="Arial" w:eastAsia="Arial" w:hAnsi="Arial" w:cs="Arial"/>
          <w:color w:val="000000"/>
          <w:highlight w:val="lightGray"/>
        </w:rPr>
        <w:noBreakHyphen/>
        <w:t>ISO/IEC 42001:2025.</w:t>
      </w:r>
    </w:p>
    <w:p w14:paraId="488EF96E" w14:textId="7CCFC609" w:rsidR="00462A57" w:rsidRPr="00833CDE" w:rsidRDefault="00462A57" w:rsidP="00462A57">
      <w:pPr>
        <w:spacing w:line="276" w:lineRule="auto"/>
        <w:ind w:left="851" w:hanging="284"/>
        <w:jc w:val="both"/>
        <w:rPr>
          <w:rFonts w:ascii="Arial" w:eastAsia="Arial" w:hAnsi="Arial" w:cs="Arial"/>
          <w:color w:val="000000"/>
          <w:highlight w:val="lightGray"/>
        </w:rPr>
      </w:pPr>
      <w:r w:rsidRPr="00833CDE">
        <w:rPr>
          <w:rFonts w:ascii="Arial" w:eastAsia="Arial" w:hAnsi="Arial" w:cs="Arial"/>
          <w:color w:val="000000"/>
          <w:highlight w:val="lightGray"/>
        </w:rPr>
        <w:t>6.</w:t>
      </w:r>
      <w:r w:rsidRPr="00833CDE">
        <w:rPr>
          <w:rFonts w:ascii="Arial" w:eastAsia="Arial" w:hAnsi="Arial" w:cs="Arial"/>
          <w:color w:val="000000"/>
          <w:highlight w:val="lightGray"/>
        </w:rPr>
        <w:t>13</w:t>
      </w:r>
      <w:r w:rsidRPr="00833CDE">
        <w:rPr>
          <w:rFonts w:ascii="Arial" w:eastAsia="Arial" w:hAnsi="Arial" w:cs="Arial"/>
          <w:color w:val="000000"/>
          <w:highlight w:val="lightGray"/>
        </w:rPr>
        <w:t>.3 Gestión del cambio</w:t>
      </w:r>
    </w:p>
    <w:p w14:paraId="3003C927" w14:textId="77777777" w:rsidR="00462A57" w:rsidRPr="00833CDE" w:rsidRDefault="00462A57" w:rsidP="00462A57">
      <w:pPr>
        <w:spacing w:line="276" w:lineRule="auto"/>
        <w:ind w:left="851"/>
        <w:jc w:val="both"/>
        <w:rPr>
          <w:rFonts w:ascii="Arial" w:eastAsia="Arial" w:hAnsi="Arial" w:cs="Arial"/>
          <w:color w:val="000000"/>
          <w:highlight w:val="lightGray"/>
        </w:rPr>
      </w:pPr>
      <w:r w:rsidRPr="00833CDE">
        <w:rPr>
          <w:rFonts w:ascii="Arial" w:eastAsia="Arial" w:hAnsi="Arial" w:cs="Arial"/>
          <w:color w:val="000000"/>
          <w:highlight w:val="lightGray"/>
        </w:rPr>
        <w:t>La Intendencia Nacional de Recursos Humanos promueve las acciones de gestión del cambio necesarias para la adopción efectiva de la Política y del sistema de gestión de IA, fomentando una cultura institucional orientada a la innovación responsable, la mejora continua y el aprovechamiento seguro y sostenible de las tecnologías basadas en IA.</w:t>
      </w:r>
    </w:p>
    <w:p w14:paraId="1C48AEFE" w14:textId="77777777" w:rsidR="00462A57" w:rsidRPr="00833CDE" w:rsidRDefault="00462A57" w:rsidP="00462A57">
      <w:pPr>
        <w:spacing w:line="276" w:lineRule="auto"/>
        <w:ind w:left="851"/>
        <w:jc w:val="both"/>
        <w:rPr>
          <w:rFonts w:ascii="Arial" w:eastAsia="Arial" w:hAnsi="Arial" w:cs="Arial"/>
          <w:color w:val="000000"/>
          <w:highlight w:val="lightGray"/>
        </w:rPr>
      </w:pPr>
      <w:r w:rsidRPr="00833CDE">
        <w:rPr>
          <w:rFonts w:ascii="Arial" w:eastAsia="Arial" w:hAnsi="Arial" w:cs="Arial"/>
          <w:color w:val="000000"/>
          <w:highlight w:val="lightGray"/>
        </w:rPr>
        <w:t>Las acciones de gestión del cambio facilitan la consolidación de la Política institucional de uso seguro, responsable y ético de los sistemas basados en IA y del sistema de gestión de IA, promoviendo su integración en la gestión institucional y favoreciendo las condiciones organizacionales necesarias para su sostenibilidad y mejora continua, en concordancia con los numerales 28.1 y 28.2 del artículo 28 del Reglamento.</w:t>
      </w:r>
    </w:p>
    <w:p w14:paraId="2B6E073D" w14:textId="77777777" w:rsidR="00462A57" w:rsidRDefault="00462A57" w:rsidP="00462A57">
      <w:pPr>
        <w:jc w:val="both"/>
        <w:rPr>
          <w:color w:val="000000" w:themeColor="text1"/>
        </w:rPr>
      </w:pPr>
    </w:p>
    <w:p w14:paraId="413BDA4B" w14:textId="77777777" w:rsidR="00462A57" w:rsidRDefault="00462A57" w:rsidP="00462A57">
      <w:pPr>
        <w:jc w:val="both"/>
        <w:rPr>
          <w:color w:val="000000" w:themeColor="text1"/>
        </w:rPr>
      </w:pPr>
    </w:p>
    <w:p w14:paraId="69C7D64F" w14:textId="77777777" w:rsidR="000153F0" w:rsidRDefault="00000000">
      <w:pPr>
        <w:pStyle w:val="SubtituloDONI"/>
        <w:spacing w:line="276" w:lineRule="auto"/>
        <w:ind w:left="851"/>
      </w:pPr>
      <w:r>
        <w:rPr>
          <w:highlight w:val="yellow"/>
        </w:rPr>
        <w:t>6.14</w:t>
      </w:r>
      <w:r>
        <w:rPr>
          <w:highlight w:val="yellow"/>
        </w:rPr>
        <w:tab/>
        <w:t>De la ética y la integridad en los SBIA</w:t>
      </w:r>
    </w:p>
    <w:p w14:paraId="3275817F"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6.14.1</w:t>
      </w:r>
      <w:r>
        <w:rPr>
          <w:rFonts w:ascii="Arial" w:eastAsia="Arial" w:hAnsi="Arial" w:cs="Arial"/>
          <w:color w:val="000000"/>
          <w:highlight w:val="yellow"/>
        </w:rPr>
        <w:tab/>
        <w:t xml:space="preserve">En el desarrollo, la implementación y el uso de los SBIA, la SUNAT promueve la participación de equipos diversos y multidisciplinarios, garantiza el pleno respeto de los derechos humanos y evita que se generen resultados injustos o </w:t>
      </w:r>
      <w:r>
        <w:rPr>
          <w:rFonts w:ascii="Arial" w:eastAsia="Arial" w:hAnsi="Arial" w:cs="Arial"/>
          <w:color w:val="000000"/>
          <w:highlight w:val="yellow"/>
        </w:rPr>
        <w:lastRenderedPageBreak/>
        <w:t>discriminatorios, considera el impacto social y ambiental, e implementa las mejores prácticas, estándares y normas técnicas para identificar y minimizar los sesgos de los algoritmos y de las bases de datos utilizados</w:t>
      </w:r>
      <w:r>
        <w:rPr>
          <w:rStyle w:val="Refdenotaalpie"/>
        </w:rPr>
        <w:footnoteReference w:id="14"/>
      </w:r>
      <w:r>
        <w:rPr>
          <w:rFonts w:ascii="Arial" w:eastAsia="Arial" w:hAnsi="Arial" w:cs="Arial"/>
          <w:color w:val="000000"/>
          <w:highlight w:val="yellow"/>
        </w:rPr>
        <w:t>.</w:t>
      </w:r>
    </w:p>
    <w:p w14:paraId="60F5B515" w14:textId="77777777" w:rsidR="00836DA1"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6.14.2</w:t>
      </w:r>
      <w:r>
        <w:rPr>
          <w:rFonts w:ascii="Arial" w:eastAsia="Arial" w:hAnsi="Arial" w:cs="Arial"/>
          <w:color w:val="000000"/>
          <w:highlight w:val="yellow"/>
        </w:rPr>
        <w:tab/>
        <w:t>La SUNAT promueve que su personal cumpla las normas del Código de Ética de la Función Pública, su Reglamento y las normas de integridad en el desarrollo, la implementación y el uso de los SBIA</w:t>
      </w:r>
      <w:r>
        <w:rPr>
          <w:rStyle w:val="Refdenotaalpie"/>
        </w:rPr>
        <w:footnoteReference w:id="15"/>
      </w:r>
      <w:r>
        <w:rPr>
          <w:rFonts w:ascii="Arial" w:eastAsia="Arial" w:hAnsi="Arial" w:cs="Arial"/>
          <w:color w:val="000000"/>
          <w:highlight w:val="yellow"/>
        </w:rPr>
        <w:t>. La OII supervisa el cumplimiento de los principios éticos en los SBIA, evalúa los riesgos de sesgo y discriminación y administra el canal de consultas éticas en materia de IA. Su opinión sobre la clasificación de riesgo consta conforme al numeral 6.2.2.</w:t>
      </w:r>
    </w:p>
    <w:p w14:paraId="42351527" w14:textId="77777777" w:rsidR="00326739" w:rsidRDefault="00000000">
      <w:pPr>
        <w:tabs>
          <w:tab w:val="left" w:pos="1276"/>
        </w:tabs>
        <w:spacing w:after="60" w:line="276" w:lineRule="auto"/>
        <w:ind w:left="1276" w:hanging="709"/>
        <w:jc w:val="both"/>
        <w:rPr>
          <w:rFonts w:ascii="Arial" w:eastAsia="Arial" w:hAnsi="Arial" w:cs="Arial"/>
          <w:color w:val="000000"/>
        </w:rPr>
      </w:pPr>
      <w:r>
        <w:rPr>
          <w:rFonts w:ascii="Arial" w:eastAsia="Arial" w:hAnsi="Arial" w:cs="Arial"/>
          <w:color w:val="000000"/>
          <w:highlight w:val="yellow"/>
        </w:rPr>
        <w:t>6.14.3</w:t>
      </w:r>
      <w:r>
        <w:rPr>
          <w:rFonts w:ascii="Arial" w:eastAsia="Arial" w:hAnsi="Arial" w:cs="Arial"/>
          <w:color w:val="000000"/>
          <w:highlight w:val="yellow"/>
        </w:rPr>
        <w:tab/>
        <w:t>Los Lineamientos Éticos que apruebe la SGTD</w:t>
      </w:r>
      <w:r>
        <w:rPr>
          <w:rStyle w:val="Refdenotaalpie"/>
        </w:rPr>
        <w:footnoteReference w:id="16"/>
      </w:r>
      <w:r>
        <w:rPr>
          <w:rFonts w:ascii="Arial" w:eastAsia="Arial" w:hAnsi="Arial" w:cs="Arial"/>
          <w:color w:val="000000"/>
          <w:highlight w:val="yellow"/>
        </w:rPr>
        <w:t xml:space="preserve"> son de aplicación en la SUNAT desde su entrada en vigencia. La Comisión de Gobierno de IA evalúa su impacto en la presente directiva y propone al CGTD los ajustes que correspondan.</w:t>
      </w:r>
    </w:p>
    <w:p w14:paraId="0D4D1298" w14:textId="34B24A1F" w:rsidR="00326739" w:rsidRPr="00326739" w:rsidRDefault="00326739" w:rsidP="00326739">
      <w:pPr>
        <w:pStyle w:val="SubtituloDONI"/>
        <w:spacing w:line="276" w:lineRule="auto"/>
        <w:ind w:left="851"/>
        <w:rPr>
          <w:color w:val="000000"/>
          <w:highlight w:val="lightGray"/>
        </w:rPr>
      </w:pPr>
      <w:r w:rsidRPr="00326739">
        <w:rPr>
          <w:highlight w:val="lightGray"/>
        </w:rPr>
        <w:t>6.15 De la articulación con la formulación de iniciativas, proyectos e inversiones</w:t>
      </w:r>
    </w:p>
    <w:p w14:paraId="0BD19C27" w14:textId="61BE8FE3" w:rsidR="00326739" w:rsidRPr="00326739" w:rsidRDefault="00326739" w:rsidP="00326739">
      <w:pPr>
        <w:tabs>
          <w:tab w:val="left" w:pos="1276"/>
        </w:tabs>
        <w:spacing w:after="60" w:line="276" w:lineRule="auto"/>
        <w:ind w:left="1276" w:hanging="709"/>
        <w:jc w:val="both"/>
        <w:rPr>
          <w:highlight w:val="lightGray"/>
        </w:rPr>
      </w:pPr>
      <w:r w:rsidRPr="00326739">
        <w:rPr>
          <w:highlight w:val="lightGray"/>
        </w:rPr>
        <w:t>6.15.1 Toda iniciativa, requerimiento o proyecto que incorpore o prevea un componente basado en IA requiere la opinión de viabilidad de la Comisión de Gobierno de IA sobre dicho componente. La opinión es insumo del análisis que sustenta la decisión que corresponda y es determinante respecto del componente de IA; no sustituye las aprobaciones que competen a la Alta Dirección ni las de los sistemas administrativos del Estado. Se emite sobre la Ficha de Evaluación de Caso de Uso (Anexo N.° 4), adecuada a la naturaleza y magnitud de la iniciativa, requerimiento o proyecto.</w:t>
      </w:r>
    </w:p>
    <w:p w14:paraId="036045F6" w14:textId="1232AD42" w:rsidR="00326739" w:rsidRPr="00326739" w:rsidRDefault="00326739" w:rsidP="00326739">
      <w:pPr>
        <w:tabs>
          <w:tab w:val="left" w:pos="1276"/>
        </w:tabs>
        <w:spacing w:after="60" w:line="276" w:lineRule="auto"/>
        <w:ind w:left="1276" w:hanging="709"/>
        <w:jc w:val="both"/>
        <w:rPr>
          <w:highlight w:val="lightGray"/>
        </w:rPr>
      </w:pPr>
      <w:r w:rsidRPr="00326739">
        <w:rPr>
          <w:highlight w:val="lightGray"/>
        </w:rPr>
        <w:t>6.15.2 En la gestión de la demanda informática, cuando un requerimiento implique el desarrollo, la adquisición o el uso de un SBIA o de una herramienta de IA, se recaba la opinión de la Comisión antes de su atención, con los formatos vigentes de la demanda complementados con la información que la INSI determine.</w:t>
      </w:r>
    </w:p>
    <w:p w14:paraId="1F688DEA" w14:textId="12F8070C" w:rsidR="00326739" w:rsidRPr="00326739" w:rsidRDefault="00326739" w:rsidP="00326739">
      <w:pPr>
        <w:tabs>
          <w:tab w:val="left" w:pos="1276"/>
        </w:tabs>
        <w:spacing w:after="60" w:line="276" w:lineRule="auto"/>
        <w:ind w:left="1276" w:hanging="709"/>
        <w:jc w:val="both"/>
        <w:rPr>
          <w:highlight w:val="lightGray"/>
        </w:rPr>
      </w:pPr>
      <w:r w:rsidRPr="00326739">
        <w:rPr>
          <w:highlight w:val="lightGray"/>
        </w:rPr>
        <w:t>6.15.3 En la formulación de proyectos institucionales conforme al MGPP, cuando se identifique un componente basado en IA se incorpora la opinión de la Comisión como parte del caso de negocio, con carácter previo a su aprobación.</w:t>
      </w:r>
    </w:p>
    <w:p w14:paraId="09190F8C" w14:textId="551338CC" w:rsidR="00326739" w:rsidRPr="00326739" w:rsidRDefault="00326739" w:rsidP="00326739">
      <w:pPr>
        <w:tabs>
          <w:tab w:val="left" w:pos="1276"/>
        </w:tabs>
        <w:spacing w:after="60" w:line="276" w:lineRule="auto"/>
        <w:ind w:left="1276" w:hanging="709"/>
        <w:jc w:val="both"/>
        <w:rPr>
          <w:highlight w:val="lightGray"/>
        </w:rPr>
      </w:pPr>
      <w:r w:rsidRPr="00326739">
        <w:rPr>
          <w:highlight w:val="lightGray"/>
        </w:rPr>
        <w:t>6.15.4 Cuando un proyecto de inversión pública sujeto al Sistema Nacional de Programación Multianual y Gestión de Inversiones incorpore un componente basado en IA, la Unidad Formuladora considera la opinión de la Comisión como insumo del análisis técnico que sustenta la declaración de viabilidad, sin perjuicio de las disposiciones del referido Sistema. En la ejecución, el SBIA observa el ciclo de vida del numeral 6.1.</w:t>
      </w:r>
    </w:p>
    <w:p w14:paraId="4D30DF90" w14:textId="2FDDB7BC" w:rsidR="000153F0" w:rsidRDefault="00326739" w:rsidP="00326739">
      <w:pPr>
        <w:tabs>
          <w:tab w:val="left" w:pos="1276"/>
        </w:tabs>
        <w:spacing w:after="60" w:line="276" w:lineRule="auto"/>
        <w:ind w:left="1276" w:hanging="709"/>
        <w:jc w:val="both"/>
        <w:rPr>
          <w:rFonts w:ascii="Arial" w:eastAsia="Arial" w:hAnsi="Arial" w:cs="Arial"/>
          <w:color w:val="000000"/>
          <w:highlight w:val="yellow"/>
        </w:rPr>
      </w:pPr>
      <w:r w:rsidRPr="00326739">
        <w:rPr>
          <w:highlight w:val="lightGray"/>
        </w:rPr>
        <w:t>6.15.5 Las unidades competentes de cada instrumento incorporan en sus metodologías o procedimientos la verificación del componente de IA y la opinión de la Comisión, según sus competencias y sin afectar los sistemas administrativos del Estado, conforme al numeral 7.6</w:t>
      </w:r>
      <w:r>
        <w:br w:type="page"/>
      </w:r>
    </w:p>
    <w:p w14:paraId="66FD7798" w14:textId="77777777" w:rsidR="00863A18" w:rsidRPr="00923C59" w:rsidRDefault="00863A18" w:rsidP="00B23382">
      <w:pPr>
        <w:pStyle w:val="Ttulo1"/>
        <w:spacing w:line="276" w:lineRule="auto"/>
        <w:rPr>
          <w:rFonts w:cs="Arial"/>
          <w:szCs w:val="22"/>
        </w:rPr>
      </w:pPr>
      <w:bookmarkStart w:id="10" w:name="_Toc235003967"/>
      <w:r>
        <w:rPr>
          <w:rFonts w:cs="Arial"/>
          <w:bCs/>
          <w:color w:val="000000"/>
          <w:szCs w:val="22"/>
        </w:rPr>
        <w:lastRenderedPageBreak/>
        <w:t>DISPOSICIONES FINALES</w:t>
      </w:r>
      <w:bookmarkEnd w:id="10"/>
    </w:p>
    <w:p w14:paraId="24E1EBB8" w14:textId="77777777" w:rsidR="00ED2DC8" w:rsidRPr="00923C59" w:rsidRDefault="00ED2DC8" w:rsidP="00B23382">
      <w:pPr>
        <w:pStyle w:val="SubtituloDONI"/>
        <w:spacing w:line="276" w:lineRule="auto"/>
        <w:ind w:left="851"/>
        <w:rPr>
          <w:b w:val="0"/>
          <w:bCs w:val="0"/>
        </w:rPr>
      </w:pPr>
      <w:r>
        <w:rPr>
          <w:b w:val="0"/>
          <w:bCs w:val="0"/>
        </w:rPr>
        <w:t>7.1</w:t>
      </w:r>
      <w:r>
        <w:rPr>
          <w:b w:val="0"/>
          <w:bCs w:val="0"/>
        </w:rPr>
        <w:tab/>
        <w:t>La presente directiva entra en vigencia al día siguiente de la emisión de la Resolución de Superintendencia que la aprueba.</w:t>
      </w:r>
    </w:p>
    <w:p w14:paraId="0A1CC218" w14:textId="77777777" w:rsidR="00ED2DC8" w:rsidRPr="00923C59" w:rsidRDefault="00ED2DC8" w:rsidP="00B23382">
      <w:pPr>
        <w:pStyle w:val="SubtituloDONI"/>
        <w:spacing w:line="276" w:lineRule="auto"/>
        <w:ind w:left="851"/>
        <w:rPr>
          <w:b w:val="0"/>
          <w:bCs w:val="0"/>
        </w:rPr>
      </w:pPr>
      <w:r>
        <w:rPr>
          <w:b w:val="0"/>
          <w:bCs w:val="0"/>
        </w:rPr>
        <w:t>7.2</w:t>
      </w:r>
      <w:r>
        <w:rPr>
          <w:b w:val="0"/>
          <w:bCs w:val="0"/>
        </w:rPr>
        <w:tab/>
        <w:t>La actualización de la presente directiva es propuesta por la Comisión de Gobierno de IA, conforme a la METDONI.</w:t>
      </w:r>
    </w:p>
    <w:p w14:paraId="0C4EDACE" w14:textId="77777777" w:rsidR="0018147B" w:rsidRDefault="00000000" w:rsidP="00CB040E">
      <w:pPr>
        <w:pStyle w:val="SubtituloDONI"/>
        <w:spacing w:before="0" w:after="0" w:line="276" w:lineRule="auto"/>
        <w:ind w:left="851"/>
        <w:rPr>
          <w:b w:val="0"/>
          <w:bCs w:val="0"/>
        </w:rPr>
      </w:pPr>
      <w:r>
        <w:rPr>
          <w:b w:val="0"/>
          <w:bCs w:val="0"/>
          <w:highlight w:val="yellow"/>
        </w:rPr>
        <w:t>7.3</w:t>
      </w:r>
      <w:r>
        <w:rPr>
          <w:b w:val="0"/>
          <w:bCs w:val="0"/>
          <w:highlight w:val="yellow"/>
        </w:rPr>
        <w:tab/>
        <w:t>La Comisión de Gobierno de IA se conforma mediante Resolución de Superintendencia, a propuesta del CGTD, conforme al numeral 5.3 de la presente directiva. El CGTD designa a su Coordinador.</w:t>
      </w:r>
    </w:p>
    <w:p w14:paraId="482CBA45" w14:textId="77777777" w:rsidR="00CB040E" w:rsidRPr="00CB040E" w:rsidRDefault="00CB040E" w:rsidP="00CB040E">
      <w:pPr>
        <w:pStyle w:val="SubtituloDONI"/>
        <w:spacing w:line="276" w:lineRule="auto"/>
        <w:ind w:left="851"/>
        <w:rPr>
          <w:b w:val="0"/>
          <w:bCs w:val="0"/>
          <w:highlight w:val="cyan"/>
        </w:rPr>
      </w:pPr>
      <w:r>
        <w:rPr>
          <w:b w:val="0"/>
          <w:bCs w:val="0"/>
          <w:highlight w:val="cyan"/>
        </w:rPr>
        <w:t>7.4</w:t>
      </w:r>
      <w:r>
        <w:rPr>
          <w:b w:val="0"/>
          <w:bCs w:val="0"/>
          <w:highlight w:val="cyan"/>
        </w:rPr>
        <w:tab/>
        <w:t>El Sistema de Gestión de Inteligencia Artificial (SGIA) de la SUNAT se rige por la NTP-ISO/IEC 42001:2025. La Comisión de Gobierno de IA propone al CGTD el plan de implementación del SGIA, con hitos y responsables, y coordina los lineamientos técnicos que correspondan.</w:t>
      </w:r>
    </w:p>
    <w:p w14:paraId="76F2D410" w14:textId="77777777" w:rsidR="00ED2DC8" w:rsidRPr="00923C59" w:rsidRDefault="00ED2DC8" w:rsidP="00B23382">
      <w:pPr>
        <w:pStyle w:val="SubtituloDONI"/>
        <w:spacing w:line="276" w:lineRule="auto"/>
        <w:ind w:left="851"/>
        <w:rPr>
          <w:b w:val="0"/>
          <w:bCs w:val="0"/>
        </w:rPr>
      </w:pPr>
      <w:r>
        <w:rPr>
          <w:b w:val="0"/>
          <w:bCs w:val="0"/>
        </w:rPr>
        <w:t>7.5</w:t>
      </w:r>
      <w:r>
        <w:rPr>
          <w:b w:val="0"/>
          <w:bCs w:val="0"/>
        </w:rPr>
        <w:tab/>
        <w:t xml:space="preserve">La Comisión de Gobierno de IA, con el apoyo técnico de la INSI, implementa el Inventario Institucional de SBIA. </w:t>
      </w:r>
    </w:p>
    <w:p w14:paraId="5CBE5256" w14:textId="77777777" w:rsidR="00836DA1" w:rsidRDefault="00000000">
      <w:pPr>
        <w:pStyle w:val="SubtituloDONI"/>
        <w:spacing w:line="276" w:lineRule="auto"/>
        <w:ind w:left="851"/>
        <w:rPr>
          <w:b w:val="0"/>
          <w:bCs w:val="0"/>
        </w:rPr>
      </w:pPr>
      <w:r>
        <w:rPr>
          <w:color w:val="000000"/>
          <w:highlight w:val="cyan"/>
        </w:rPr>
        <w:t>7.6</w:t>
      </w:r>
      <w:r>
        <w:rPr>
          <w:color w:val="000000"/>
          <w:highlight w:val="cyan"/>
        </w:rPr>
        <w:tab/>
      </w:r>
      <w:r>
        <w:rPr>
          <w:b w:val="0"/>
          <w:bCs w:val="0"/>
          <w:color w:val="000000"/>
          <w:highlight w:val="cyan"/>
        </w:rPr>
        <w:t>Las unidades de organización a las que la presente directiva asigna una responsabilidad desarrollan y aprueban, en el ámbito de las competencias que les reconoce el ROF, los documentos normativos institucionales de menor rango (metodologías, guías metodológicas, procedimientos, instructivos y lineamientos temporales) que establecen la forma de ejecutar dicha responsabilidad, conforme a la METDONI. Los encargos son los previstos en las disposiciones específicas de la presente directiva; su plazo se establece mediante acuerdo del Comité de Gobierno y Transformación Digital. La Comisión de Gobierno de IA hace seguimiento de su cumplimiento y lo reporta en el informe trimestral del numeral 6.9.5; cuando identifique la necesidad de un instrumento no previsto, propone al CGTD la unidad competente.</w:t>
      </w:r>
    </w:p>
    <w:p w14:paraId="0C699612" w14:textId="77777777" w:rsidR="00ED2DC8" w:rsidRPr="00923C59" w:rsidRDefault="00ED2DC8" w:rsidP="00B23382">
      <w:pPr>
        <w:pStyle w:val="SubtituloDONI"/>
        <w:spacing w:line="276" w:lineRule="auto"/>
        <w:ind w:left="851"/>
        <w:rPr>
          <w:b w:val="0"/>
          <w:bCs w:val="0"/>
        </w:rPr>
      </w:pPr>
      <w:r>
        <w:rPr>
          <w:b w:val="0"/>
          <w:bCs w:val="0"/>
        </w:rPr>
        <w:t>7.7</w:t>
      </w:r>
      <w:r>
        <w:rPr>
          <w:b w:val="0"/>
          <w:bCs w:val="0"/>
        </w:rPr>
        <w:tab/>
        <w:t xml:space="preserve">El CGTD resuelve las situaciones no previstas, sin perjuicio de la aplicación </w:t>
      </w:r>
      <w:r>
        <w:rPr>
          <w:b w:val="0"/>
          <w:bCs w:val="0"/>
          <w:highlight w:val="cyan"/>
        </w:rPr>
        <w:t>de</w:t>
      </w:r>
      <w:r>
        <w:rPr>
          <w:b w:val="0"/>
          <w:bCs w:val="0"/>
        </w:rPr>
        <w:t xml:space="preserve"> la normativa vigente.</w:t>
      </w:r>
    </w:p>
    <w:p w14:paraId="49AEE86F" w14:textId="77777777" w:rsidR="0018147B" w:rsidRDefault="00000000">
      <w:pPr>
        <w:pStyle w:val="SubtituloDONI"/>
        <w:spacing w:line="276" w:lineRule="auto"/>
        <w:ind w:left="851"/>
        <w:rPr>
          <w:b w:val="0"/>
          <w:bCs w:val="0"/>
        </w:rPr>
      </w:pPr>
      <w:r>
        <w:rPr>
          <w:b w:val="0"/>
          <w:bCs w:val="0"/>
        </w:rPr>
        <w:t>7.8</w:t>
      </w:r>
      <w:r>
        <w:rPr>
          <w:b w:val="0"/>
          <w:bCs w:val="0"/>
        </w:rPr>
        <w:tab/>
        <w:t>Las referencias a normas técnicas aplican a sus versiones vigentes o a las que las sustituyan.</w:t>
      </w:r>
    </w:p>
    <w:p w14:paraId="5617D77E" w14:textId="77777777" w:rsidR="0018147B" w:rsidRDefault="00000000">
      <w:pPr>
        <w:pStyle w:val="SubtituloDONI"/>
        <w:spacing w:line="276" w:lineRule="auto"/>
        <w:ind w:left="851"/>
        <w:rPr>
          <w:b w:val="0"/>
          <w:bCs w:val="0"/>
        </w:rPr>
      </w:pPr>
      <w:r>
        <w:rPr>
          <w:b w:val="0"/>
          <w:bCs w:val="0"/>
          <w:highlight w:val="yellow"/>
        </w:rPr>
        <w:t>7.9</w:t>
      </w:r>
      <w:r>
        <w:rPr>
          <w:b w:val="0"/>
          <w:bCs w:val="0"/>
          <w:highlight w:val="yellow"/>
        </w:rPr>
        <w:tab/>
        <w:t>Los Anexos, los indicadores y las fichas de la presente directiva se actualizan mediante acto administrativo del CGTD, sin requerir la modificación de la directiva, conforme a los numerales 6.10.2, 7.5 y 7.7.</w:t>
      </w:r>
    </w:p>
    <w:p w14:paraId="6BB2EF90" w14:textId="77777777" w:rsidR="00E67A73" w:rsidRDefault="00000000">
      <w:pPr>
        <w:pStyle w:val="SubtituloDONI"/>
        <w:spacing w:line="276" w:lineRule="auto"/>
        <w:ind w:left="851"/>
        <w:rPr>
          <w:b w:val="0"/>
          <w:bCs w:val="0"/>
        </w:rPr>
      </w:pPr>
      <w:r>
        <w:rPr>
          <w:b w:val="0"/>
          <w:bCs w:val="0"/>
          <w:highlight w:val="yellow"/>
        </w:rPr>
        <w:t>7.10</w:t>
      </w:r>
      <w:r>
        <w:rPr>
          <w:b w:val="0"/>
          <w:bCs w:val="0"/>
          <w:highlight w:val="yellow"/>
        </w:rPr>
        <w:tab/>
        <w:t>El Oficial de Inteligencia Artificial (OIA) de la SUNAT, previsto en el artículo 6 de la Estrategia Nacional de Inteligencia Artificial 2026-2030, recae en un miembro del CGTD y coordina el gobierno y la gestión de la inteligencia artificial institucional, así como el seguimiento del Plan de Acción de Inteligencia Artificial. Su designación se efectúa mediante acto de la máxima autoridad administrativa de la entidad, previamente a la formulación del Plan de Acción de Inteligencia Artificial. Su perfil, responsabilidades, designación y articulación se determinan conforme a los lineamientos que emita la SGTD-PCM, en aplicación de la Primera Disposición Complementaria Final de la citada Estrategia. En tanto no se emitan dichos lineamientos, las funciones de coordinación técnica en materia de IA son ejercidas por el Coordinador de la Comisión de Gobierno de IA.</w:t>
      </w:r>
      <w:r>
        <w:rPr>
          <w:rFonts w:asciiTheme="minorHAnsi" w:eastAsiaTheme="minorEastAsia" w:hAnsiTheme="minorHAnsi" w:cstheme="minorBidi"/>
          <w:b w:val="0"/>
          <w:bCs w:val="0"/>
          <w:highlight w:val="yellow"/>
        </w:rPr>
        <w:t xml:space="preserve"> </w:t>
      </w:r>
      <w:r>
        <w:rPr>
          <w:b w:val="0"/>
          <w:bCs w:val="0"/>
          <w:highlight w:val="yellow"/>
        </w:rPr>
        <w:t>Emitidos dichos lineamientos y designado el OIA, la Comisión de Gobierno de IA evalúa su articulación conforme a ellos y propone al CGTD los ajustes que correspondan.</w:t>
      </w:r>
    </w:p>
    <w:p w14:paraId="4A9D4BA4" w14:textId="77777777" w:rsidR="000153F0" w:rsidRDefault="00000000">
      <w:pPr>
        <w:pStyle w:val="SubtituloDONI"/>
        <w:spacing w:line="276" w:lineRule="auto"/>
        <w:ind w:left="851"/>
        <w:rPr>
          <w:b w:val="0"/>
          <w:bCs w:val="0"/>
        </w:rPr>
      </w:pPr>
      <w:r>
        <w:rPr>
          <w:b w:val="0"/>
          <w:bCs w:val="0"/>
          <w:highlight w:val="yellow"/>
        </w:rPr>
        <w:lastRenderedPageBreak/>
        <w:t>7.11</w:t>
      </w:r>
      <w:r>
        <w:rPr>
          <w:b w:val="0"/>
          <w:bCs w:val="0"/>
          <w:highlight w:val="yellow"/>
        </w:rPr>
        <w:tab/>
        <w:t>El Plan de Acción de Inteligencia Artificial (PAIA) forma parte del Portafolio de Proyectos del PGD, conforme al numeral 5.5 del artículo 5 de la ENIA. Su aprobación requiere que la SUNAT haya aprobado o implementado previamente su Plan de Acción de Gobierno de Datos (PAGD), conforme al numeral 5.4 del mismo artículo; el PAGD forma parte del PGD y su formulación la coordina el CGTD, en concordancia con la ENGD. Las iniciativas, proyectos y acciones priorizadas en el PAIA se articulan con el Plan Estratégico Institucional, el Plan Operativo Institucional, el Programa Multianual de Inversiones y el PGD, conforme al numeral 4.4 del artículo 4 de la misma norma y al numeral 28.10 del artículo 28 del RLIA. Su formulación corresponde a la fase posterior a la aprobación de la presente directiva.</w:t>
      </w:r>
    </w:p>
    <w:p w14:paraId="0F6BB4D0" w14:textId="77777777" w:rsidR="00863A18" w:rsidRPr="00923C59" w:rsidRDefault="00863A18" w:rsidP="00B23382">
      <w:pPr>
        <w:pStyle w:val="Ttulo1"/>
        <w:spacing w:line="276" w:lineRule="auto"/>
        <w:rPr>
          <w:rFonts w:cs="Arial"/>
          <w:szCs w:val="22"/>
        </w:rPr>
      </w:pPr>
      <w:bookmarkStart w:id="11" w:name="_Toc235003968"/>
      <w:r>
        <w:rPr>
          <w:rFonts w:cs="Arial"/>
          <w:bCs/>
          <w:color w:val="000000"/>
          <w:szCs w:val="22"/>
        </w:rPr>
        <w:t>ANEXOS</w:t>
      </w:r>
      <w:bookmarkEnd w:id="11"/>
    </w:p>
    <w:p w14:paraId="3204480F"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1. Ficha de Registro de SBIA (Campos mínimos del Inventario)</w:t>
      </w:r>
    </w:p>
    <w:p w14:paraId="694D3FA3"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2. Matriz de Clasificación de Riesgos de IA</w:t>
      </w:r>
    </w:p>
    <w:p w14:paraId="538F4866"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3. Estructura mínima de la Evaluación de Impacto Algorítmico (EIA)</w:t>
      </w:r>
    </w:p>
    <w:p w14:paraId="3AD95862"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4. Ficha de Evaluación de Caso de Uso de SBIA</w:t>
      </w:r>
    </w:p>
    <w:p w14:paraId="3F206D96" w14:textId="77777777" w:rsidR="004F49BB" w:rsidRDefault="004F49BB" w:rsidP="00B23382">
      <w:pPr>
        <w:spacing w:line="276" w:lineRule="auto"/>
        <w:rPr>
          <w:rFonts w:ascii="Arial" w:eastAsia="Arial" w:hAnsi="Arial" w:cs="Arial"/>
          <w:b/>
          <w:bCs/>
          <w:color w:val="000000"/>
        </w:rPr>
      </w:pPr>
      <w:r>
        <w:rPr>
          <w:rFonts w:ascii="Arial" w:eastAsia="Arial" w:hAnsi="Arial" w:cs="Arial"/>
          <w:b/>
          <w:bCs/>
          <w:color w:val="000000"/>
        </w:rPr>
        <w:br w:type="page"/>
      </w:r>
    </w:p>
    <w:p w14:paraId="5A18DFFE"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1: Ficha de Registro de SBIA (Campos mínimos del Inventario)</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109"/>
        <w:gridCol w:w="6152"/>
      </w:tblGrid>
      <w:tr w:rsidR="00863A18" w:rsidRPr="00923C59" w14:paraId="67758469" w14:textId="77777777" w:rsidTr="00E0746A">
        <w:trPr>
          <w:tblHeader/>
        </w:trPr>
        <w:tc>
          <w:tcPr>
            <w:tcW w:w="52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755FE93"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w:t>
            </w:r>
          </w:p>
        </w:tc>
        <w:tc>
          <w:tcPr>
            <w:tcW w:w="2109"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914051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Campo</w:t>
            </w:r>
          </w:p>
        </w:tc>
        <w:tc>
          <w:tcPr>
            <w:tcW w:w="615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013822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w:t>
            </w:r>
          </w:p>
        </w:tc>
      </w:tr>
      <w:tr w:rsidR="00863A18" w:rsidRPr="00923C59" w14:paraId="7CECF6DD"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65935A" w14:textId="77777777" w:rsidR="00863A18" w:rsidRPr="00923C59" w:rsidRDefault="00863A18" w:rsidP="00B23382">
            <w:pPr>
              <w:spacing w:before="20" w:after="20" w:line="276" w:lineRule="auto"/>
              <w:rPr>
                <w:rFonts w:ascii="Arial" w:hAnsi="Arial" w:cs="Arial"/>
              </w:rPr>
            </w:pPr>
            <w:r>
              <w:rPr>
                <w:rFonts w:ascii="Arial" w:eastAsia="Arial" w:hAnsi="Arial" w:cs="Arial"/>
              </w:rPr>
              <w:t>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D2AA0E"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Código del SBIA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D2A412" w14:textId="77777777" w:rsidR="00863A18" w:rsidRPr="00923C59" w:rsidRDefault="00863A18" w:rsidP="00B23382">
            <w:pPr>
              <w:spacing w:before="20" w:after="20" w:line="276" w:lineRule="auto"/>
              <w:rPr>
                <w:rFonts w:ascii="Arial" w:hAnsi="Arial" w:cs="Arial"/>
              </w:rPr>
            </w:pPr>
            <w:r>
              <w:rPr>
                <w:rFonts w:ascii="Arial" w:eastAsia="Arial" w:hAnsi="Arial" w:cs="Arial"/>
              </w:rPr>
              <w:t>Identificador único.</w:t>
            </w:r>
          </w:p>
        </w:tc>
      </w:tr>
      <w:tr w:rsidR="00863A18" w:rsidRPr="00923C59" w14:paraId="0280B27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7828F" w14:textId="77777777" w:rsidR="00863A18" w:rsidRPr="00923C59" w:rsidRDefault="00863A18" w:rsidP="00B23382">
            <w:pPr>
              <w:spacing w:before="20" w:after="20" w:line="276" w:lineRule="auto"/>
              <w:rPr>
                <w:rFonts w:ascii="Arial" w:hAnsi="Arial" w:cs="Arial"/>
              </w:rPr>
            </w:pPr>
            <w:r>
              <w:rPr>
                <w:rFonts w:ascii="Arial" w:eastAsia="Arial" w:hAnsi="Arial" w:cs="Arial"/>
              </w:rPr>
              <w:t>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E86E9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Denominación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E8152A" w14:textId="77777777" w:rsidR="00863A18" w:rsidRPr="00923C59" w:rsidRDefault="00863A18" w:rsidP="00B23382">
            <w:pPr>
              <w:spacing w:before="20" w:after="20" w:line="276" w:lineRule="auto"/>
              <w:rPr>
                <w:rFonts w:ascii="Arial" w:hAnsi="Arial" w:cs="Arial"/>
              </w:rPr>
            </w:pPr>
            <w:r>
              <w:rPr>
                <w:rFonts w:ascii="Arial" w:eastAsia="Arial" w:hAnsi="Arial" w:cs="Arial"/>
              </w:rPr>
              <w:t>Nombre del SBIA.</w:t>
            </w:r>
          </w:p>
        </w:tc>
      </w:tr>
      <w:tr w:rsidR="00863A18" w:rsidRPr="00923C59" w14:paraId="5DA025BA"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4B60A4" w14:textId="77777777" w:rsidR="00863A18" w:rsidRPr="00923C59" w:rsidRDefault="00863A18" w:rsidP="00B23382">
            <w:pPr>
              <w:spacing w:before="20" w:after="20" w:line="276" w:lineRule="auto"/>
              <w:rPr>
                <w:rFonts w:ascii="Arial" w:hAnsi="Arial" w:cs="Arial"/>
              </w:rPr>
            </w:pPr>
            <w:r>
              <w:rPr>
                <w:rFonts w:ascii="Arial" w:eastAsia="Arial" w:hAnsi="Arial" w:cs="Arial"/>
              </w:rPr>
              <w:t>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CC72C2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Propietario del caso de uso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F5A3F8" w14:textId="77777777" w:rsidR="00863A18" w:rsidRPr="00923C59" w:rsidRDefault="00863A18" w:rsidP="00B23382">
            <w:pPr>
              <w:spacing w:before="20" w:after="20" w:line="276" w:lineRule="auto"/>
              <w:rPr>
                <w:rFonts w:ascii="Arial" w:hAnsi="Arial" w:cs="Arial"/>
              </w:rPr>
            </w:pPr>
            <w:r>
              <w:rPr>
                <w:rFonts w:ascii="Arial" w:eastAsia="Arial" w:hAnsi="Arial" w:cs="Arial"/>
              </w:rPr>
              <w:t>Unidad de organización y responsable.</w:t>
            </w:r>
          </w:p>
        </w:tc>
      </w:tr>
      <w:tr w:rsidR="00863A18" w:rsidRPr="00923C59" w14:paraId="716C7F6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D43918" w14:textId="77777777" w:rsidR="00863A18" w:rsidRPr="00923C59" w:rsidRDefault="00863A18" w:rsidP="00B23382">
            <w:pPr>
              <w:spacing w:before="20" w:after="20" w:line="276" w:lineRule="auto"/>
              <w:rPr>
                <w:rFonts w:ascii="Arial" w:hAnsi="Arial" w:cs="Arial"/>
              </w:rPr>
            </w:pPr>
            <w:r>
              <w:rPr>
                <w:rFonts w:ascii="Arial" w:eastAsia="Arial" w:hAnsi="Arial" w:cs="Arial"/>
              </w:rPr>
              <w:t>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F9F367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Enfoque (A, B o C)</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970E2" w14:textId="77777777" w:rsidR="00863A18" w:rsidRPr="00923C59" w:rsidRDefault="00863A18" w:rsidP="00B23382">
            <w:pPr>
              <w:spacing w:before="20" w:after="20" w:line="276" w:lineRule="auto"/>
              <w:rPr>
                <w:rFonts w:ascii="Arial" w:hAnsi="Arial" w:cs="Arial"/>
              </w:rPr>
            </w:pPr>
            <w:r>
              <w:rPr>
                <w:rFonts w:ascii="Arial" w:eastAsia="Arial" w:hAnsi="Arial" w:cs="Arial"/>
              </w:rPr>
              <w:t>Según el Alcance de la presente directiva.</w:t>
            </w:r>
          </w:p>
        </w:tc>
      </w:tr>
      <w:tr w:rsidR="00863A18" w:rsidRPr="00923C59" w14:paraId="6F34DDD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6011BE" w14:textId="77777777" w:rsidR="00863A18" w:rsidRPr="00923C59" w:rsidRDefault="00863A18" w:rsidP="00B23382">
            <w:pPr>
              <w:spacing w:before="20" w:after="20" w:line="276" w:lineRule="auto"/>
              <w:rPr>
                <w:rFonts w:ascii="Arial" w:hAnsi="Arial" w:cs="Arial"/>
              </w:rPr>
            </w:pPr>
            <w:r>
              <w:rPr>
                <w:rFonts w:ascii="Arial" w:eastAsia="Arial" w:hAnsi="Arial" w:cs="Arial"/>
              </w:rPr>
              <w:t>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2958DF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Nivel de riesgo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737AA5" w14:textId="77777777" w:rsidR="0018147B" w:rsidRDefault="00000000">
            <w:pPr>
              <w:spacing w:before="20" w:after="20" w:line="276" w:lineRule="auto"/>
              <w:rPr>
                <w:rFonts w:ascii="Arial" w:hAnsi="Arial" w:cs="Arial"/>
              </w:rPr>
            </w:pPr>
            <w:r>
              <w:rPr>
                <w:rFonts w:ascii="Arial" w:eastAsia="Arial" w:hAnsi="Arial" w:cs="Arial"/>
                <w:highlight w:val="yellow"/>
              </w:rPr>
              <w:t>Uso indebido (Art. 23), Alto (Art. 24) o Aceptable (Art. 22.2; subnivel limitado o mínimo).</w:t>
            </w:r>
          </w:p>
        </w:tc>
      </w:tr>
      <w:tr w:rsidR="00863A18" w:rsidRPr="00923C59" w14:paraId="3428CA0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2F600A" w14:textId="77777777" w:rsidR="00863A18" w:rsidRPr="00923C59" w:rsidRDefault="00863A18" w:rsidP="00B23382">
            <w:pPr>
              <w:spacing w:before="20" w:after="20" w:line="276" w:lineRule="auto"/>
              <w:rPr>
                <w:rFonts w:ascii="Arial" w:hAnsi="Arial" w:cs="Arial"/>
              </w:rPr>
            </w:pPr>
            <w:r>
              <w:rPr>
                <w:rFonts w:ascii="Arial" w:eastAsia="Arial" w:hAnsi="Arial" w:cs="Arial"/>
              </w:rPr>
              <w:t>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43ED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 y propósito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6C9F50" w14:textId="77777777" w:rsidR="00863A18" w:rsidRPr="00923C59" w:rsidRDefault="00863A18" w:rsidP="00B23382">
            <w:pPr>
              <w:spacing w:before="20" w:after="20" w:line="276" w:lineRule="auto"/>
              <w:rPr>
                <w:rFonts w:ascii="Arial" w:hAnsi="Arial" w:cs="Arial"/>
              </w:rPr>
            </w:pPr>
            <w:r>
              <w:rPr>
                <w:rFonts w:ascii="Arial" w:eastAsia="Arial" w:hAnsi="Arial" w:cs="Arial"/>
              </w:rPr>
              <w:t>Descripción funcional, problema que resuelve, beneficios.</w:t>
            </w:r>
          </w:p>
        </w:tc>
      </w:tr>
      <w:tr w:rsidR="00863A18" w:rsidRPr="00923C59" w14:paraId="066E506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DA71A4" w14:textId="77777777" w:rsidR="00863A18" w:rsidRPr="00923C59" w:rsidRDefault="00863A18" w:rsidP="00B23382">
            <w:pPr>
              <w:spacing w:before="20" w:after="20" w:line="276" w:lineRule="auto"/>
              <w:rPr>
                <w:rFonts w:ascii="Arial" w:hAnsi="Arial" w:cs="Arial"/>
              </w:rPr>
            </w:pPr>
            <w:r>
              <w:rPr>
                <w:rFonts w:ascii="Arial" w:eastAsia="Arial" w:hAnsi="Arial" w:cs="Arial"/>
              </w:rPr>
              <w:t>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465BEC" w14:textId="77777777" w:rsidR="00863A18" w:rsidRPr="00923C59" w:rsidRDefault="00863A18" w:rsidP="00B23382">
            <w:pPr>
              <w:spacing w:before="20" w:after="20" w:line="276" w:lineRule="auto"/>
              <w:rPr>
                <w:rFonts w:ascii="Arial" w:hAnsi="Arial" w:cs="Arial"/>
              </w:rPr>
            </w:pPr>
            <w:r>
              <w:rPr>
                <w:rFonts w:ascii="Arial" w:eastAsia="Arial" w:hAnsi="Arial" w:cs="Arial"/>
                <w:b/>
                <w:bCs/>
              </w:rPr>
              <w:t>Tipo de 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41412D" w14:textId="77777777" w:rsidR="00863A18" w:rsidRPr="00923C59" w:rsidRDefault="00863A18" w:rsidP="00B23382">
            <w:pPr>
              <w:spacing w:before="20" w:after="20" w:line="276" w:lineRule="auto"/>
              <w:rPr>
                <w:rFonts w:ascii="Arial" w:hAnsi="Arial" w:cs="Arial"/>
              </w:rPr>
            </w:pPr>
            <w:r>
              <w:rPr>
                <w:rFonts w:ascii="Arial" w:eastAsia="Arial" w:hAnsi="Arial" w:cs="Arial"/>
              </w:rPr>
              <w:t>ML, Deep Learning, LLM, basados en reglas, otros.</w:t>
            </w:r>
          </w:p>
        </w:tc>
      </w:tr>
      <w:tr w:rsidR="00863A18" w:rsidRPr="00923C59" w14:paraId="625E0E3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10EB550" w14:textId="77777777" w:rsidR="00863A18" w:rsidRPr="00923C59" w:rsidRDefault="00863A18" w:rsidP="00B23382">
            <w:pPr>
              <w:spacing w:before="20" w:after="20" w:line="276" w:lineRule="auto"/>
              <w:rPr>
                <w:rFonts w:ascii="Arial" w:hAnsi="Arial" w:cs="Arial"/>
              </w:rPr>
            </w:pPr>
            <w:r>
              <w:rPr>
                <w:rFonts w:ascii="Arial" w:eastAsia="Arial" w:hAnsi="Arial" w:cs="Arial"/>
              </w:rPr>
              <w:t>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4EA59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Datos utilizados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3452ED" w14:textId="77777777" w:rsidR="00863A18" w:rsidRPr="00923C59" w:rsidRDefault="00863A18" w:rsidP="00B23382">
            <w:pPr>
              <w:spacing w:before="20" w:after="20" w:line="276" w:lineRule="auto"/>
              <w:rPr>
                <w:rFonts w:ascii="Arial" w:hAnsi="Arial" w:cs="Arial"/>
              </w:rPr>
            </w:pPr>
            <w:r>
              <w:rPr>
                <w:rFonts w:ascii="Arial" w:eastAsia="Arial" w:hAnsi="Arial" w:cs="Arial"/>
              </w:rPr>
              <w:t>Fuentes, tipos, presencia de datos personales o reserva tributaria.</w:t>
            </w:r>
          </w:p>
        </w:tc>
      </w:tr>
      <w:tr w:rsidR="00863A18" w:rsidRPr="00462A57" w14:paraId="65C3EA11"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550038" w14:textId="77777777" w:rsidR="00863A18" w:rsidRPr="00923C59" w:rsidRDefault="00863A18" w:rsidP="00B23382">
            <w:pPr>
              <w:spacing w:before="20" w:after="20" w:line="276" w:lineRule="auto"/>
              <w:rPr>
                <w:rFonts w:ascii="Arial" w:hAnsi="Arial" w:cs="Arial"/>
              </w:rPr>
            </w:pPr>
            <w:r>
              <w:rPr>
                <w:rFonts w:ascii="Arial" w:eastAsia="Arial" w:hAnsi="Arial" w:cs="Arial"/>
              </w:rPr>
              <w:t>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F637D0" w14:textId="77777777" w:rsidR="00863A18" w:rsidRPr="00923C59" w:rsidRDefault="00863A18" w:rsidP="00B23382">
            <w:pPr>
              <w:spacing w:before="20" w:after="20" w:line="276" w:lineRule="auto"/>
              <w:rPr>
                <w:rFonts w:ascii="Arial" w:hAnsi="Arial" w:cs="Arial"/>
              </w:rPr>
            </w:pPr>
            <w:r>
              <w:rPr>
                <w:rFonts w:ascii="Arial" w:eastAsia="Arial" w:hAnsi="Arial" w:cs="Arial"/>
                <w:b/>
                <w:bCs/>
              </w:rPr>
              <w:t>Supervisión humana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C80DBE" w14:textId="77777777" w:rsidR="00863A18" w:rsidRPr="00923C59" w:rsidRDefault="00863A18" w:rsidP="00B23382">
            <w:pPr>
              <w:spacing w:before="20" w:after="20" w:line="276" w:lineRule="auto"/>
              <w:rPr>
                <w:rFonts w:ascii="Arial" w:hAnsi="Arial" w:cs="Arial"/>
                <w:lang w:val="en-US"/>
              </w:rPr>
            </w:pPr>
            <w:r>
              <w:rPr>
                <w:rFonts w:ascii="Arial" w:eastAsia="Arial" w:hAnsi="Arial" w:cs="Arial"/>
                <w:lang w:val="en-US"/>
              </w:rPr>
              <w:t>Human-in-the-loop, on-the-loop o in-command.</w:t>
            </w:r>
          </w:p>
        </w:tc>
      </w:tr>
      <w:tr w:rsidR="00863A18" w:rsidRPr="00923C59" w14:paraId="0AEC7DB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F78949" w14:textId="77777777" w:rsidR="00863A18" w:rsidRPr="00923C59" w:rsidRDefault="00863A18" w:rsidP="00B23382">
            <w:pPr>
              <w:spacing w:before="20" w:after="20" w:line="276" w:lineRule="auto"/>
              <w:rPr>
                <w:rFonts w:ascii="Arial" w:hAnsi="Arial" w:cs="Arial"/>
              </w:rPr>
            </w:pPr>
            <w:r>
              <w:rPr>
                <w:rFonts w:ascii="Arial" w:eastAsia="Arial" w:hAnsi="Arial" w:cs="Arial"/>
              </w:rPr>
              <w:t>10</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5A79B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Estado del ciclo de vida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FBD378" w14:textId="77777777" w:rsidR="00863A18" w:rsidRPr="00923C59" w:rsidRDefault="00863A18" w:rsidP="00B23382">
            <w:pPr>
              <w:spacing w:before="20" w:after="20" w:line="276" w:lineRule="auto"/>
              <w:rPr>
                <w:rFonts w:ascii="Arial" w:hAnsi="Arial" w:cs="Arial"/>
              </w:rPr>
            </w:pPr>
            <w:r>
              <w:rPr>
                <w:rFonts w:ascii="Arial" w:eastAsia="Arial" w:hAnsi="Arial" w:cs="Arial"/>
              </w:rPr>
              <w:t>Ideación, Evaluación, Diseño, Desarrollo, Pruebas, Producción, Retirado.</w:t>
            </w:r>
          </w:p>
        </w:tc>
      </w:tr>
      <w:tr w:rsidR="00863A18" w:rsidRPr="00923C59" w14:paraId="4F84DB97"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9F5DCD" w14:textId="77777777" w:rsidR="00863A18" w:rsidRPr="00923C59" w:rsidRDefault="00863A18" w:rsidP="00B23382">
            <w:pPr>
              <w:spacing w:before="20" w:after="20" w:line="276" w:lineRule="auto"/>
              <w:rPr>
                <w:rFonts w:ascii="Arial" w:hAnsi="Arial" w:cs="Arial"/>
              </w:rPr>
            </w:pPr>
            <w:r>
              <w:rPr>
                <w:rFonts w:ascii="Arial" w:eastAsia="Arial" w:hAnsi="Arial" w:cs="Arial"/>
              </w:rPr>
              <w:t>11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DE3B2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Fecha de despliegue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90B537" w14:textId="77777777" w:rsidR="00863A18" w:rsidRPr="00923C59" w:rsidRDefault="00863A18" w:rsidP="00B23382">
            <w:pPr>
              <w:spacing w:before="20" w:after="20" w:line="276" w:lineRule="auto"/>
              <w:rPr>
                <w:rFonts w:ascii="Arial" w:hAnsi="Arial" w:cs="Arial"/>
              </w:rPr>
            </w:pPr>
            <w:r>
              <w:rPr>
                <w:rFonts w:ascii="Arial" w:eastAsia="Arial" w:hAnsi="Arial" w:cs="Arial"/>
              </w:rPr>
              <w:t>Fecha real o estimada.</w:t>
            </w:r>
          </w:p>
        </w:tc>
      </w:tr>
      <w:tr w:rsidR="00863A18" w:rsidRPr="00923C59" w14:paraId="2784F0C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6E91D2D" w14:textId="77777777" w:rsidR="00863A18" w:rsidRPr="00923C59" w:rsidRDefault="00863A18" w:rsidP="00B23382">
            <w:pPr>
              <w:spacing w:before="20" w:after="20" w:line="276" w:lineRule="auto"/>
              <w:rPr>
                <w:rFonts w:ascii="Arial" w:hAnsi="Arial" w:cs="Arial"/>
              </w:rPr>
            </w:pPr>
            <w:r>
              <w:rPr>
                <w:rFonts w:ascii="Arial" w:eastAsia="Arial" w:hAnsi="Arial" w:cs="Arial"/>
              </w:rPr>
              <w:t>12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1121B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Proveedor</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471F35" w14:textId="77777777" w:rsidR="00863A18" w:rsidRPr="00923C59" w:rsidRDefault="00863A18" w:rsidP="00B23382">
            <w:pPr>
              <w:spacing w:before="20" w:after="20" w:line="276" w:lineRule="auto"/>
              <w:rPr>
                <w:rFonts w:ascii="Arial" w:hAnsi="Arial" w:cs="Arial"/>
              </w:rPr>
            </w:pPr>
            <w:r>
              <w:rPr>
                <w:rFonts w:ascii="Arial" w:eastAsia="Arial" w:hAnsi="Arial" w:cs="Arial"/>
              </w:rPr>
              <w:t>Nombre y datos del contrato (si aplica).</w:t>
            </w:r>
          </w:p>
        </w:tc>
      </w:tr>
      <w:tr w:rsidR="00863A18" w:rsidRPr="00923C59" w14:paraId="5BF7870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1692F5" w14:textId="77777777" w:rsidR="00863A18" w:rsidRPr="00923C59" w:rsidRDefault="00863A18" w:rsidP="00B23382">
            <w:pPr>
              <w:spacing w:before="20" w:after="20" w:line="276" w:lineRule="auto"/>
              <w:rPr>
                <w:rFonts w:ascii="Arial" w:hAnsi="Arial" w:cs="Arial"/>
              </w:rPr>
            </w:pPr>
            <w:r>
              <w:rPr>
                <w:rFonts w:ascii="Arial" w:eastAsia="Arial" w:hAnsi="Arial" w:cs="Arial"/>
              </w:rPr>
              <w:t>13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109A7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EIA realizada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302C2CA" w14:textId="77777777" w:rsidR="00863A18" w:rsidRPr="00923C59" w:rsidRDefault="00863A18" w:rsidP="00B23382">
            <w:pPr>
              <w:spacing w:before="20" w:after="20" w:line="276" w:lineRule="auto"/>
              <w:rPr>
                <w:rFonts w:ascii="Arial" w:hAnsi="Arial" w:cs="Arial"/>
              </w:rPr>
            </w:pPr>
            <w:r>
              <w:rPr>
                <w:rFonts w:ascii="Arial" w:eastAsia="Arial" w:hAnsi="Arial" w:cs="Arial"/>
              </w:rPr>
              <w:t>Sí/No, fecha y referencia al documento.</w:t>
            </w:r>
          </w:p>
        </w:tc>
      </w:tr>
      <w:tr w:rsidR="00863A18" w:rsidRPr="00923C59" w14:paraId="2511E69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0370CE" w14:textId="77777777" w:rsidR="00863A18" w:rsidRPr="00923C59" w:rsidRDefault="00863A18" w:rsidP="00B23382">
            <w:pPr>
              <w:spacing w:before="20" w:after="20" w:line="276" w:lineRule="auto"/>
              <w:rPr>
                <w:rFonts w:ascii="Arial" w:hAnsi="Arial" w:cs="Arial"/>
              </w:rPr>
            </w:pPr>
            <w:r>
              <w:rPr>
                <w:rFonts w:ascii="Arial" w:eastAsia="Arial" w:hAnsi="Arial" w:cs="Arial"/>
              </w:rPr>
              <w:t>14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0B6C33" w14:textId="77777777" w:rsidR="00863A18" w:rsidRPr="00923C59" w:rsidRDefault="00863A18" w:rsidP="00B23382">
            <w:pPr>
              <w:spacing w:before="20" w:after="20" w:line="276" w:lineRule="auto"/>
              <w:rPr>
                <w:rFonts w:ascii="Arial" w:hAnsi="Arial" w:cs="Arial"/>
              </w:rPr>
            </w:pPr>
            <w:r>
              <w:rPr>
                <w:rFonts w:ascii="Arial" w:eastAsia="Arial" w:hAnsi="Arial" w:cs="Arial"/>
                <w:b/>
                <w:bCs/>
              </w:rPr>
              <w:t>Última auditoría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42A070" w14:textId="77777777" w:rsidR="00863A18" w:rsidRPr="00923C59" w:rsidRDefault="00863A18" w:rsidP="00B23382">
            <w:pPr>
              <w:spacing w:before="20" w:after="20" w:line="276" w:lineRule="auto"/>
              <w:rPr>
                <w:rFonts w:ascii="Arial" w:hAnsi="Arial" w:cs="Arial"/>
              </w:rPr>
            </w:pPr>
            <w:r>
              <w:rPr>
                <w:rFonts w:ascii="Arial" w:eastAsia="Arial" w:hAnsi="Arial" w:cs="Arial"/>
              </w:rPr>
              <w:t>Fecha de la última auditoría técnica.</w:t>
            </w:r>
          </w:p>
        </w:tc>
      </w:tr>
      <w:tr w:rsidR="00863A18" w:rsidRPr="00923C59" w14:paraId="39AD186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C72882" w14:textId="77777777" w:rsidR="00863A18" w:rsidRPr="00923C59" w:rsidRDefault="00863A18" w:rsidP="00B23382">
            <w:pPr>
              <w:spacing w:before="20" w:after="20" w:line="276" w:lineRule="auto"/>
              <w:rPr>
                <w:rFonts w:ascii="Arial" w:hAnsi="Arial" w:cs="Arial"/>
              </w:rPr>
            </w:pPr>
            <w:r>
              <w:rPr>
                <w:rFonts w:ascii="Arial" w:eastAsia="Arial" w:hAnsi="Arial" w:cs="Arial"/>
              </w:rPr>
              <w:t>15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69E94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Responsable técnico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2731C4" w14:textId="77777777" w:rsidR="00863A18" w:rsidRPr="00923C59" w:rsidRDefault="00863A18" w:rsidP="00B23382">
            <w:pPr>
              <w:spacing w:before="20" w:after="20" w:line="276" w:lineRule="auto"/>
              <w:rPr>
                <w:rFonts w:ascii="Arial" w:hAnsi="Arial" w:cs="Arial"/>
              </w:rPr>
            </w:pPr>
            <w:r>
              <w:rPr>
                <w:rFonts w:ascii="Arial" w:eastAsia="Arial" w:hAnsi="Arial" w:cs="Arial"/>
              </w:rPr>
              <w:t>Nombre y unidad de organización en INSI.</w:t>
            </w:r>
          </w:p>
        </w:tc>
      </w:tr>
      <w:tr w:rsidR="003E4730" w:rsidRPr="00923C59" w14:paraId="7AD2C81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8DE5FC" w14:textId="77777777" w:rsidR="003E4730" w:rsidRDefault="003E4730" w:rsidP="00B23382">
            <w:pPr>
              <w:spacing w:before="20" w:after="20" w:line="276" w:lineRule="auto"/>
              <w:rPr>
                <w:rFonts w:ascii="Arial" w:eastAsia="Arial" w:hAnsi="Arial" w:cs="Arial"/>
              </w:rPr>
            </w:pPr>
            <w:r>
              <w:rPr>
                <w:rFonts w:ascii="Arial" w:eastAsia="Arial" w:hAnsi="Arial" w:cs="Arial"/>
              </w:rPr>
              <w:t>16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BCC1BA"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Mecanismo de transparencia algorítmica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60B37E" w14:textId="77777777" w:rsidR="003E4730" w:rsidRDefault="003E4730" w:rsidP="00B23382">
            <w:pPr>
              <w:spacing w:before="20" w:after="20" w:line="276" w:lineRule="auto"/>
              <w:rPr>
                <w:rFonts w:ascii="Arial" w:eastAsia="Arial" w:hAnsi="Arial" w:cs="Arial"/>
              </w:rPr>
            </w:pPr>
            <w:r>
              <w:rPr>
                <w:rFonts w:ascii="Arial" w:eastAsia="Arial" w:hAnsi="Arial" w:cs="Arial"/>
              </w:rPr>
              <w:t>Descripción del mecanismo de transparencia previsto para el SBIA, aplicable a los SBIA de riesgo alto (numeral 6.9.1).</w:t>
            </w:r>
          </w:p>
        </w:tc>
      </w:tr>
      <w:tr w:rsidR="003E4730" w:rsidRPr="00923C59" w14:paraId="5EF646B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52A945" w14:textId="77777777" w:rsidR="003E4730" w:rsidRDefault="003E4730" w:rsidP="00B23382">
            <w:pPr>
              <w:spacing w:before="20" w:after="20" w:line="276" w:lineRule="auto"/>
              <w:rPr>
                <w:rFonts w:ascii="Arial" w:eastAsia="Arial" w:hAnsi="Arial" w:cs="Arial"/>
              </w:rPr>
            </w:pPr>
            <w:r>
              <w:rPr>
                <w:rFonts w:ascii="Arial" w:eastAsia="Arial" w:hAnsi="Arial" w:cs="Arial"/>
              </w:rPr>
              <w:t>17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34753D"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Etiquetado visible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826F58" w14:textId="77777777" w:rsidR="003E4730" w:rsidRDefault="003E4730" w:rsidP="00B23382">
            <w:pPr>
              <w:spacing w:before="20" w:after="20" w:line="276" w:lineRule="auto"/>
              <w:rPr>
                <w:rFonts w:ascii="Arial" w:eastAsia="Arial" w:hAnsi="Arial" w:cs="Arial"/>
              </w:rPr>
            </w:pPr>
            <w:r>
              <w:rPr>
                <w:rFonts w:ascii="Arial" w:eastAsia="Arial" w:hAnsi="Arial" w:cs="Arial"/>
              </w:rPr>
              <w:t>Indicación de si el SBIA aplica etiquetado visible y la forma en que se presenta, cuando corresponda (numeral 6.9.2).</w:t>
            </w:r>
          </w:p>
        </w:tc>
      </w:tr>
    </w:tbl>
    <w:p w14:paraId="29034906" w14:textId="77777777" w:rsidR="00863A18" w:rsidRPr="00923C59" w:rsidRDefault="00863A18" w:rsidP="00B23382">
      <w:pPr>
        <w:spacing w:line="276" w:lineRule="auto"/>
        <w:rPr>
          <w:rFonts w:ascii="Arial" w:hAnsi="Arial" w:cs="Arial"/>
        </w:rPr>
      </w:pPr>
      <w:r>
        <w:rPr>
          <w:rFonts w:ascii="Arial" w:hAnsi="Arial" w:cs="Arial"/>
        </w:rPr>
        <w:br w:type="page"/>
      </w:r>
    </w:p>
    <w:p w14:paraId="7E1538A7"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2: Matriz de Clasificación de Riesgos de IA</w:t>
      </w:r>
    </w:p>
    <w:p w14:paraId="0F2B57D5"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clasificación. Su aplicación se desarrolla en la metodología del numeral 6.1.5 y se actualiza conforme al numeral 7.9.</w:t>
      </w:r>
    </w:p>
    <w:p w14:paraId="0CD52EEB" w14:textId="77777777" w:rsidR="0018147B" w:rsidRDefault="00000000">
      <w:pPr>
        <w:spacing w:after="60" w:line="276" w:lineRule="auto"/>
        <w:jc w:val="both"/>
        <w:rPr>
          <w:rFonts w:ascii="Arial" w:hAnsi="Arial" w:cs="Arial"/>
        </w:rPr>
      </w:pPr>
      <w:r>
        <w:rPr>
          <w:rFonts w:ascii="Arial" w:eastAsia="Arial" w:hAnsi="Arial" w:cs="Arial"/>
          <w:color w:val="000000"/>
          <w:highlight w:val="yellow"/>
        </w:rPr>
        <w:t>La clasificación se realiza conforme a los artículos 22, 23 y 24 del RLIA. Los siguientes criterios complementarios aplican al contexto tributario y aduanero de la SUNAT:</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7"/>
        <w:gridCol w:w="1757"/>
        <w:gridCol w:w="1758"/>
        <w:gridCol w:w="1758"/>
        <w:gridCol w:w="1758"/>
      </w:tblGrid>
      <w:tr w:rsidR="00863A18" w:rsidRPr="00923C59" w14:paraId="0C990816" w14:textId="77777777" w:rsidTr="00E0746A">
        <w:trPr>
          <w:tblHeader/>
        </w:trPr>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975AB1C"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Criterio</w:t>
            </w:r>
          </w:p>
        </w:tc>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23244C9" w14:textId="77777777" w:rsidR="0018147B" w:rsidRDefault="00000000">
            <w:pPr>
              <w:spacing w:before="20" w:after="20" w:line="276" w:lineRule="auto"/>
              <w:rPr>
                <w:rFonts w:ascii="Arial" w:hAnsi="Arial" w:cs="Arial"/>
              </w:rPr>
            </w:pPr>
            <w:r>
              <w:rPr>
                <w:rFonts w:ascii="Arial" w:eastAsia="Arial" w:hAnsi="Arial" w:cs="Arial"/>
                <w:b/>
                <w:bCs/>
                <w:highlight w:val="yellow"/>
              </w:rPr>
              <w:t>Riesgo aceptable — mínimo</w:t>
            </w:r>
          </w:p>
        </w:tc>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D85B746" w14:textId="77777777" w:rsidR="0018147B" w:rsidRDefault="00000000">
            <w:pPr>
              <w:spacing w:before="20" w:after="20" w:line="276" w:lineRule="auto"/>
              <w:rPr>
                <w:rFonts w:ascii="Arial" w:hAnsi="Arial" w:cs="Arial"/>
              </w:rPr>
            </w:pPr>
            <w:r>
              <w:rPr>
                <w:rFonts w:ascii="Arial" w:eastAsia="Arial" w:hAnsi="Arial" w:cs="Arial"/>
                <w:b/>
                <w:bCs/>
                <w:highlight w:val="yellow"/>
              </w:rPr>
              <w:t>Riesgo aceptable — limitado</w:t>
            </w:r>
          </w:p>
        </w:tc>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DD4D39E" w14:textId="77777777" w:rsidR="0018147B" w:rsidRDefault="00000000">
            <w:pPr>
              <w:spacing w:before="20" w:after="20" w:line="276" w:lineRule="auto"/>
              <w:rPr>
                <w:rFonts w:ascii="Arial" w:hAnsi="Arial" w:cs="Arial"/>
              </w:rPr>
            </w:pPr>
            <w:r>
              <w:rPr>
                <w:rFonts w:ascii="Arial" w:eastAsia="Arial" w:hAnsi="Arial" w:cs="Arial"/>
                <w:b/>
                <w:bCs/>
                <w:highlight w:val="yellow"/>
              </w:rPr>
              <w:t>Riesgo alto (Art. 24)</w:t>
            </w:r>
          </w:p>
        </w:tc>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8C73068" w14:textId="77777777" w:rsidR="0018147B" w:rsidRDefault="00000000">
            <w:pPr>
              <w:spacing w:before="20" w:after="20" w:line="276" w:lineRule="auto"/>
              <w:rPr>
                <w:rFonts w:ascii="Arial" w:hAnsi="Arial" w:cs="Arial"/>
              </w:rPr>
            </w:pPr>
            <w:r>
              <w:rPr>
                <w:rFonts w:ascii="Arial" w:eastAsia="Arial" w:hAnsi="Arial" w:cs="Arial"/>
                <w:b/>
                <w:bCs/>
                <w:highlight w:val="cyan"/>
              </w:rPr>
              <w:t>Uso indebido (Art. 23)</w:t>
            </w:r>
          </w:p>
        </w:tc>
      </w:tr>
      <w:tr w:rsidR="00863A18" w:rsidRPr="00923C59" w14:paraId="6638A516"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D7E2AC" w14:textId="77777777" w:rsidR="00863A18" w:rsidRPr="00923C59" w:rsidRDefault="00863A18" w:rsidP="00B23382">
            <w:pPr>
              <w:spacing w:before="20" w:after="20" w:line="276" w:lineRule="auto"/>
              <w:rPr>
                <w:rFonts w:ascii="Arial" w:hAnsi="Arial" w:cs="Arial"/>
              </w:rPr>
            </w:pPr>
            <w:r>
              <w:rPr>
                <w:rFonts w:ascii="Arial" w:eastAsia="Arial" w:hAnsi="Arial" w:cs="Arial"/>
                <w:b/>
                <w:bCs/>
              </w:rPr>
              <w:t>Impacto en derechos</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1FC08B" w14:textId="77777777" w:rsidR="00863A18" w:rsidRPr="00923C59" w:rsidRDefault="00863A18" w:rsidP="00B23382">
            <w:pPr>
              <w:spacing w:before="20" w:after="20" w:line="276" w:lineRule="auto"/>
              <w:rPr>
                <w:rFonts w:ascii="Arial" w:hAnsi="Arial" w:cs="Arial"/>
              </w:rPr>
            </w:pPr>
            <w:r>
              <w:rPr>
                <w:rFonts w:ascii="Arial" w:eastAsia="Arial" w:hAnsi="Arial" w:cs="Arial"/>
              </w:rPr>
              <w:t>Sin impacto directo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2A6917" w14:textId="77777777" w:rsidR="00863A18" w:rsidRPr="00923C59" w:rsidRDefault="00863A18" w:rsidP="00B23382">
            <w:pPr>
              <w:spacing w:before="20" w:after="20" w:line="276" w:lineRule="auto"/>
              <w:rPr>
                <w:rFonts w:ascii="Arial" w:hAnsi="Arial" w:cs="Arial"/>
              </w:rPr>
            </w:pPr>
            <w:r>
              <w:rPr>
                <w:rFonts w:ascii="Arial" w:eastAsia="Arial" w:hAnsi="Arial" w:cs="Arial"/>
              </w:rPr>
              <w:t>Impacto informativo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0E73F8" w14:textId="77777777" w:rsidR="00863A18" w:rsidRPr="00923C59" w:rsidRDefault="00863A18" w:rsidP="00B23382">
            <w:pPr>
              <w:spacing w:before="20" w:after="20" w:line="276" w:lineRule="auto"/>
              <w:rPr>
                <w:rFonts w:ascii="Arial" w:hAnsi="Arial" w:cs="Arial"/>
              </w:rPr>
            </w:pPr>
            <w:r>
              <w:rPr>
                <w:rFonts w:ascii="Arial" w:eastAsia="Arial" w:hAnsi="Arial" w:cs="Arial"/>
              </w:rPr>
              <w:t>Impacto significativo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3B80C" w14:textId="77777777" w:rsidR="00863A18" w:rsidRPr="00923C59" w:rsidRDefault="00863A18" w:rsidP="00B23382">
            <w:pPr>
              <w:spacing w:before="20" w:after="20" w:line="276" w:lineRule="auto"/>
              <w:rPr>
                <w:rFonts w:ascii="Arial" w:hAnsi="Arial" w:cs="Arial"/>
              </w:rPr>
            </w:pPr>
            <w:r>
              <w:rPr>
                <w:rFonts w:ascii="Arial" w:eastAsia="Arial" w:hAnsi="Arial" w:cs="Arial"/>
              </w:rPr>
              <w:t>Vulneración grave de derechos fundamentales</w:t>
            </w:r>
          </w:p>
        </w:tc>
      </w:tr>
      <w:tr w:rsidR="00863A18" w:rsidRPr="00923C59" w14:paraId="49715B64"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221915" w14:textId="77777777" w:rsidR="00863A18" w:rsidRPr="00923C59" w:rsidRDefault="00863A18" w:rsidP="00B23382">
            <w:pPr>
              <w:spacing w:before="20" w:after="20" w:line="276" w:lineRule="auto"/>
              <w:rPr>
                <w:rFonts w:ascii="Arial" w:hAnsi="Arial" w:cs="Arial"/>
              </w:rPr>
            </w:pPr>
            <w:r>
              <w:rPr>
                <w:rFonts w:ascii="Arial" w:eastAsia="Arial" w:hAnsi="Arial" w:cs="Arial"/>
                <w:b/>
                <w:bCs/>
              </w:rPr>
              <w:t>Autonomía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28F72D" w14:textId="77777777" w:rsidR="00863A18" w:rsidRPr="00923C59" w:rsidRDefault="00863A18" w:rsidP="00B23382">
            <w:pPr>
              <w:spacing w:before="20" w:after="20" w:line="276" w:lineRule="auto"/>
              <w:rPr>
                <w:rFonts w:ascii="Arial" w:hAnsi="Arial" w:cs="Arial"/>
              </w:rPr>
            </w:pPr>
            <w:r>
              <w:rPr>
                <w:rFonts w:ascii="Arial" w:eastAsia="Arial" w:hAnsi="Arial" w:cs="Arial"/>
              </w:rPr>
              <w:t>Solo asistencia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9F23D6" w14:textId="77777777" w:rsidR="00863A18" w:rsidRPr="00923C59" w:rsidRDefault="00863A18" w:rsidP="00B23382">
            <w:pPr>
              <w:spacing w:before="20" w:after="20" w:line="276" w:lineRule="auto"/>
              <w:rPr>
                <w:rFonts w:ascii="Arial" w:hAnsi="Arial" w:cs="Arial"/>
              </w:rPr>
            </w:pPr>
            <w:r>
              <w:rPr>
                <w:rFonts w:ascii="Arial" w:eastAsia="Arial" w:hAnsi="Arial" w:cs="Arial"/>
              </w:rPr>
              <w:t>Interacción directa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2E7BD7" w14:textId="77777777" w:rsidR="00863A18" w:rsidRPr="00923C59" w:rsidRDefault="00863A18" w:rsidP="00B23382">
            <w:pPr>
              <w:spacing w:before="20" w:after="20" w:line="276" w:lineRule="auto"/>
              <w:rPr>
                <w:rFonts w:ascii="Arial" w:hAnsi="Arial" w:cs="Arial"/>
              </w:rPr>
            </w:pPr>
            <w:r>
              <w:rPr>
                <w:rFonts w:ascii="Arial" w:eastAsia="Arial" w:hAnsi="Arial" w:cs="Arial"/>
              </w:rPr>
              <w:t>Influencia en decisiones</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51E2A9" w14:textId="77777777" w:rsidR="00863A18" w:rsidRPr="00923C59" w:rsidRDefault="00863A18" w:rsidP="00B23382">
            <w:pPr>
              <w:spacing w:before="20" w:after="20" w:line="276" w:lineRule="auto"/>
              <w:rPr>
                <w:rFonts w:ascii="Arial" w:hAnsi="Arial" w:cs="Arial"/>
              </w:rPr>
            </w:pPr>
            <w:r>
              <w:rPr>
                <w:rFonts w:ascii="Arial" w:eastAsia="Arial" w:hAnsi="Arial" w:cs="Arial"/>
              </w:rPr>
              <w:t>Decisión autónoma sin supervisión</w:t>
            </w:r>
          </w:p>
        </w:tc>
      </w:tr>
      <w:tr w:rsidR="00863A18" w:rsidRPr="00923C59" w14:paraId="08BDA6A8"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CBD7A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Datos</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1E0B92" w14:textId="77777777" w:rsidR="00863A18" w:rsidRPr="00923C59" w:rsidRDefault="00863A18" w:rsidP="00B23382">
            <w:pPr>
              <w:spacing w:before="20" w:after="20" w:line="276" w:lineRule="auto"/>
              <w:rPr>
                <w:rFonts w:ascii="Arial" w:hAnsi="Arial" w:cs="Arial"/>
              </w:rPr>
            </w:pPr>
            <w:r>
              <w:rPr>
                <w:rFonts w:ascii="Arial" w:eastAsia="Arial" w:hAnsi="Arial" w:cs="Arial"/>
              </w:rPr>
              <w:t>Públicos / no sensibles</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AEC651" w14:textId="77777777" w:rsidR="00863A18" w:rsidRPr="00923C59" w:rsidRDefault="00863A18" w:rsidP="00B23382">
            <w:pPr>
              <w:spacing w:before="20" w:after="20" w:line="276" w:lineRule="auto"/>
              <w:rPr>
                <w:rFonts w:ascii="Arial" w:hAnsi="Arial" w:cs="Arial"/>
              </w:rPr>
            </w:pPr>
            <w:r>
              <w:rPr>
                <w:rFonts w:ascii="Arial" w:eastAsia="Arial" w:hAnsi="Arial" w:cs="Arial"/>
              </w:rPr>
              <w:t>Generales de interacción</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FAE8F1" w14:textId="77777777" w:rsidR="00863A18" w:rsidRPr="00923C59" w:rsidRDefault="00863A18" w:rsidP="00B23382">
            <w:pPr>
              <w:spacing w:before="20" w:after="20" w:line="276" w:lineRule="auto"/>
              <w:rPr>
                <w:rFonts w:ascii="Arial" w:hAnsi="Arial" w:cs="Arial"/>
              </w:rPr>
            </w:pPr>
            <w:r>
              <w:rPr>
                <w:rFonts w:ascii="Arial" w:eastAsia="Arial" w:hAnsi="Arial" w:cs="Arial"/>
              </w:rPr>
              <w:t>Personales, reserva tributaria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C74562" w14:textId="77777777" w:rsidR="00863A18" w:rsidRPr="00923C59" w:rsidRDefault="00863A18" w:rsidP="00B23382">
            <w:pPr>
              <w:spacing w:before="20" w:after="20" w:line="276" w:lineRule="auto"/>
              <w:rPr>
                <w:rFonts w:ascii="Arial" w:hAnsi="Arial" w:cs="Arial"/>
              </w:rPr>
            </w:pPr>
            <w:r>
              <w:rPr>
                <w:rFonts w:ascii="Arial" w:eastAsia="Arial" w:hAnsi="Arial" w:cs="Arial"/>
              </w:rPr>
              <w:t>Biométricos para inferir condiciones protegidas</w:t>
            </w:r>
          </w:p>
        </w:tc>
      </w:tr>
      <w:tr w:rsidR="00863A18" w:rsidRPr="00923C59" w14:paraId="3ABE4675"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AF3DA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Reversibilidad</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DCA8C6" w14:textId="77777777" w:rsidR="00863A18" w:rsidRPr="00923C59" w:rsidRDefault="00863A18" w:rsidP="00B23382">
            <w:pPr>
              <w:spacing w:before="20" w:after="20" w:line="276" w:lineRule="auto"/>
              <w:rPr>
                <w:rFonts w:ascii="Arial" w:hAnsi="Arial" w:cs="Arial"/>
              </w:rPr>
            </w:pPr>
            <w:r>
              <w:rPr>
                <w:rFonts w:ascii="Arial" w:eastAsia="Arial" w:hAnsi="Arial" w:cs="Arial"/>
              </w:rPr>
              <w:t>Totalmente reversible</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4398DB" w14:textId="77777777" w:rsidR="00863A18" w:rsidRPr="00923C59" w:rsidRDefault="00863A18" w:rsidP="00B23382">
            <w:pPr>
              <w:spacing w:before="20" w:after="20" w:line="276" w:lineRule="auto"/>
              <w:rPr>
                <w:rFonts w:ascii="Arial" w:hAnsi="Arial" w:cs="Arial"/>
              </w:rPr>
            </w:pPr>
            <w:r>
              <w:rPr>
                <w:rFonts w:ascii="Arial" w:eastAsia="Arial" w:hAnsi="Arial" w:cs="Arial"/>
              </w:rPr>
              <w:t>Fácilmente reversible</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4BFD19" w14:textId="77777777" w:rsidR="00863A18" w:rsidRPr="00923C59" w:rsidRDefault="00863A18" w:rsidP="00B23382">
            <w:pPr>
              <w:spacing w:before="20" w:after="20" w:line="276" w:lineRule="auto"/>
              <w:rPr>
                <w:rFonts w:ascii="Arial" w:hAnsi="Arial" w:cs="Arial"/>
              </w:rPr>
            </w:pPr>
            <w:r>
              <w:rPr>
                <w:rFonts w:ascii="Arial" w:eastAsia="Arial" w:hAnsi="Arial" w:cs="Arial"/>
              </w:rPr>
              <w:t>Difícilmente reversible</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539855D" w14:textId="77777777" w:rsidR="00863A18" w:rsidRPr="00923C59" w:rsidRDefault="00863A18" w:rsidP="00B23382">
            <w:pPr>
              <w:spacing w:before="20" w:after="20" w:line="276" w:lineRule="auto"/>
              <w:rPr>
                <w:rFonts w:ascii="Arial" w:hAnsi="Arial" w:cs="Arial"/>
              </w:rPr>
            </w:pPr>
            <w:r>
              <w:rPr>
                <w:rFonts w:ascii="Arial" w:eastAsia="Arial" w:hAnsi="Arial" w:cs="Arial"/>
              </w:rPr>
              <w:t>Irreversible o daño grave</w:t>
            </w:r>
          </w:p>
        </w:tc>
      </w:tr>
      <w:tr w:rsidR="00863A18" w:rsidRPr="00923C59" w14:paraId="7590BC3A"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A1D22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Escala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078E89" w14:textId="77777777" w:rsidR="00863A18" w:rsidRPr="00923C59" w:rsidRDefault="00863A18" w:rsidP="00B23382">
            <w:pPr>
              <w:spacing w:before="20" w:after="20" w:line="276" w:lineRule="auto"/>
              <w:rPr>
                <w:rFonts w:ascii="Arial" w:hAnsi="Arial" w:cs="Arial"/>
              </w:rPr>
            </w:pPr>
            <w:r>
              <w:rPr>
                <w:rFonts w:ascii="Arial" w:eastAsia="Arial" w:hAnsi="Arial" w:cs="Arial"/>
              </w:rPr>
              <w:t>Individual, bajo volumen</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F40757" w14:textId="77777777" w:rsidR="00863A18" w:rsidRPr="00923C59" w:rsidRDefault="00863A18" w:rsidP="00B23382">
            <w:pPr>
              <w:spacing w:before="20" w:after="20" w:line="276" w:lineRule="auto"/>
              <w:rPr>
                <w:rFonts w:ascii="Arial" w:hAnsi="Arial" w:cs="Arial"/>
              </w:rPr>
            </w:pPr>
            <w:r>
              <w:rPr>
                <w:rFonts w:ascii="Arial" w:eastAsia="Arial" w:hAnsi="Arial" w:cs="Arial"/>
              </w:rPr>
              <w:t>Individual, volumen medio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CA922F" w14:textId="77777777" w:rsidR="00863A18" w:rsidRPr="00923C59" w:rsidRDefault="00863A18" w:rsidP="00B23382">
            <w:pPr>
              <w:spacing w:before="20" w:after="20" w:line="276" w:lineRule="auto"/>
              <w:rPr>
                <w:rFonts w:ascii="Arial" w:hAnsi="Arial" w:cs="Arial"/>
              </w:rPr>
            </w:pPr>
            <w:r>
              <w:rPr>
                <w:rFonts w:ascii="Arial" w:eastAsia="Arial" w:hAnsi="Arial" w:cs="Arial"/>
              </w:rPr>
              <w:t>Colectivo o masivo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56FF67" w14:textId="77777777" w:rsidR="00863A18" w:rsidRPr="00923C59" w:rsidRDefault="00863A18" w:rsidP="00B23382">
            <w:pPr>
              <w:spacing w:before="20" w:after="20" w:line="276" w:lineRule="auto"/>
              <w:rPr>
                <w:rFonts w:ascii="Arial" w:hAnsi="Arial" w:cs="Arial"/>
              </w:rPr>
            </w:pPr>
            <w:r>
              <w:rPr>
                <w:rFonts w:ascii="Arial" w:eastAsia="Arial" w:hAnsi="Arial" w:cs="Arial"/>
              </w:rPr>
              <w:t>Poblaciones completas o grupos vulnerables</w:t>
            </w:r>
          </w:p>
        </w:tc>
      </w:tr>
    </w:tbl>
    <w:p w14:paraId="4C91E48C" w14:textId="77777777" w:rsidR="00863A18" w:rsidRPr="00923C59" w:rsidRDefault="00863A18" w:rsidP="00B23382">
      <w:pPr>
        <w:spacing w:line="276" w:lineRule="auto"/>
        <w:rPr>
          <w:rFonts w:ascii="Arial" w:hAnsi="Arial" w:cs="Arial"/>
        </w:rPr>
      </w:pPr>
      <w:r>
        <w:rPr>
          <w:rFonts w:ascii="Arial" w:hAnsi="Arial" w:cs="Arial"/>
        </w:rPr>
        <w:br w:type="page"/>
      </w:r>
    </w:p>
    <w:p w14:paraId="13F9A2DB"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3: Estructura mínima de la EIA</w:t>
      </w:r>
    </w:p>
    <w:p w14:paraId="6AE976C9"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la EIA. Su aplicación se desarrolla en la metodología del numeral 6.1.5 y se actualiza conforme al numeral 7.9.</w:t>
      </w:r>
    </w:p>
    <w:p w14:paraId="197EE4F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Datos generales del SBIA (código, denominación, propietario, equipo técnico).</w:t>
      </w:r>
    </w:p>
    <w:p w14:paraId="3421EF5B"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propósito, alcance funcional y contexto de uso.</w:t>
      </w:r>
    </w:p>
    <w:p w14:paraId="14E84EED"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 los datos utilizados: fuentes, volumen, calidad, datos personales o reserva tributaria.</w:t>
      </w:r>
    </w:p>
    <w:p w14:paraId="2F289DE9"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modelo o algoritmo: tipo, técnica, métricas de rendimiento esperadas.</w:t>
      </w:r>
    </w:p>
    <w:p w14:paraId="443EB5E2"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Identificación de riesgos: matriz con probabilidad, impacto y nivel resultante.</w:t>
      </w:r>
    </w:p>
    <w:p w14:paraId="34D46875"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sesgos: metodología, resultados, grupos potencialmente afectados.</w:t>
      </w:r>
    </w:p>
    <w:p w14:paraId="53B823AC"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Evaluación de proporcionalidad: análisis de si el uso es proporcional al objetivo.</w:t>
      </w:r>
    </w:p>
    <w:p w14:paraId="5A3D6F26"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Medidas de mitigación: acciones específicas, responsables y plazos.</w:t>
      </w:r>
    </w:p>
    <w:p w14:paraId="01DDF3B4"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Mecanismos de supervisión humana: nivel definido, personal asignado, procedimiento.</w:t>
      </w:r>
    </w:p>
    <w:p w14:paraId="3ADAED46"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Cumplimiento normativo: Ley IA, Reglamento, protección de datos, reserva tributaria.</w:t>
      </w:r>
    </w:p>
    <w:p w14:paraId="7BCD68B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sostenibilidad: estimación del consumo de recursos computacionales y consideraciones de eficiencia energética del SBIA.</w:t>
      </w:r>
    </w:p>
    <w:p w14:paraId="12369CCE"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Plan de monitoreo post-despliegue: indicadores, frecuencia, responsables.</w:t>
      </w:r>
    </w:p>
    <w:p w14:paraId="542A5564"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Aprobaciones: firmas del propietario, la Comisión de Gobierno de IA, la OII e INALI.</w:t>
      </w:r>
    </w:p>
    <w:p w14:paraId="771AACE6" w14:textId="77777777" w:rsidR="00863A18" w:rsidRPr="00923C59" w:rsidRDefault="00863A18" w:rsidP="00B23382">
      <w:pPr>
        <w:spacing w:line="276" w:lineRule="auto"/>
        <w:rPr>
          <w:rFonts w:ascii="Arial" w:hAnsi="Arial" w:cs="Arial"/>
        </w:rPr>
      </w:pPr>
      <w:r>
        <w:rPr>
          <w:rFonts w:ascii="Arial" w:hAnsi="Arial" w:cs="Arial"/>
        </w:rPr>
        <w:br w:type="page"/>
      </w:r>
    </w:p>
    <w:p w14:paraId="5567F002"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4: Ficha de Evaluación de Caso de Uso de SBIA</w:t>
      </w:r>
    </w:p>
    <w:p w14:paraId="0F6F71B1" w14:textId="77777777" w:rsidR="00863A18" w:rsidRPr="00923C59" w:rsidRDefault="00863A18" w:rsidP="00B23382">
      <w:pPr>
        <w:spacing w:after="40" w:line="276" w:lineRule="auto"/>
        <w:jc w:val="both"/>
        <w:rPr>
          <w:rFonts w:ascii="Arial" w:hAnsi="Arial" w:cs="Arial"/>
        </w:rPr>
      </w:pPr>
      <w:r>
        <w:rPr>
          <w:rFonts w:ascii="Arial" w:eastAsia="Arial" w:hAnsi="Arial" w:cs="Arial"/>
          <w:b/>
          <w:bCs/>
          <w:color w:val="000000"/>
        </w:rPr>
        <w:t>Sección 1 — Identificación:</w:t>
      </w:r>
    </w:p>
    <w:p w14:paraId="41695B88" w14:textId="77777777" w:rsidR="00863A18" w:rsidRPr="00923C59" w:rsidRDefault="00863A18">
      <w:pPr>
        <w:pStyle w:val="Prrafodelista"/>
        <w:numPr>
          <w:ilvl w:val="0"/>
          <w:numId w:val="7"/>
        </w:numPr>
        <w:spacing w:after="40" w:line="276" w:lineRule="auto"/>
        <w:rPr>
          <w:b w:val="0"/>
          <w:bCs w:val="0"/>
        </w:rPr>
      </w:pPr>
      <w:r>
        <w:rPr>
          <w:b w:val="0"/>
          <w:bCs w:val="0"/>
          <w:color w:val="000000"/>
        </w:rPr>
        <w:t>Denominación del caso de uso.</w:t>
      </w:r>
    </w:p>
    <w:p w14:paraId="01E94E25" w14:textId="77777777" w:rsidR="00863A18" w:rsidRPr="00923C59" w:rsidRDefault="00863A18">
      <w:pPr>
        <w:pStyle w:val="Prrafodelista"/>
        <w:numPr>
          <w:ilvl w:val="0"/>
          <w:numId w:val="7"/>
        </w:numPr>
        <w:spacing w:after="40" w:line="276" w:lineRule="auto"/>
        <w:rPr>
          <w:b w:val="0"/>
          <w:bCs w:val="0"/>
        </w:rPr>
      </w:pPr>
      <w:r>
        <w:rPr>
          <w:b w:val="0"/>
          <w:bCs w:val="0"/>
          <w:color w:val="000000"/>
        </w:rPr>
        <w:t>Unidad de organización solicitante (propietario del caso de uso).</w:t>
      </w:r>
    </w:p>
    <w:p w14:paraId="6E679DD5" w14:textId="77777777" w:rsidR="00863A18" w:rsidRPr="00923C59" w:rsidRDefault="00863A18">
      <w:pPr>
        <w:pStyle w:val="Prrafodelista"/>
        <w:numPr>
          <w:ilvl w:val="0"/>
          <w:numId w:val="7"/>
        </w:numPr>
        <w:spacing w:after="40" w:line="276" w:lineRule="auto"/>
        <w:rPr>
          <w:b w:val="0"/>
          <w:bCs w:val="0"/>
        </w:rPr>
      </w:pPr>
      <w:r>
        <w:rPr>
          <w:b w:val="0"/>
          <w:bCs w:val="0"/>
          <w:color w:val="000000"/>
        </w:rPr>
        <w:t>Responsable funcional (nombre, cargo, correo).</w:t>
      </w:r>
    </w:p>
    <w:p w14:paraId="181EDDA9" w14:textId="77777777" w:rsidR="00863A18" w:rsidRPr="00923C59" w:rsidRDefault="00863A18">
      <w:pPr>
        <w:pStyle w:val="Prrafodelista"/>
        <w:numPr>
          <w:ilvl w:val="0"/>
          <w:numId w:val="7"/>
        </w:numPr>
        <w:spacing w:after="40" w:line="276" w:lineRule="auto"/>
        <w:rPr>
          <w:b w:val="0"/>
          <w:bCs w:val="0"/>
        </w:rPr>
      </w:pPr>
      <w:r>
        <w:rPr>
          <w:b w:val="0"/>
          <w:bCs w:val="0"/>
          <w:color w:val="000000"/>
        </w:rPr>
        <w:t>Fecha de presentación.</w:t>
      </w:r>
    </w:p>
    <w:p w14:paraId="732A4860" w14:textId="77777777" w:rsidR="00863A18" w:rsidRPr="00923C59" w:rsidRDefault="00863A18" w:rsidP="00B23382">
      <w:pPr>
        <w:spacing w:before="120" w:after="40" w:line="276" w:lineRule="auto"/>
        <w:jc w:val="both"/>
        <w:rPr>
          <w:rFonts w:ascii="Arial" w:hAnsi="Arial" w:cs="Arial"/>
        </w:rPr>
      </w:pPr>
      <w:r>
        <w:rPr>
          <w:rFonts w:ascii="Arial" w:eastAsia="Arial" w:hAnsi="Arial" w:cs="Arial"/>
          <w:b/>
          <w:bCs/>
          <w:color w:val="000000"/>
        </w:rPr>
        <w:t>Sección 2 — Problema y justificación:</w:t>
      </w:r>
    </w:p>
    <w:p w14:paraId="38277C9E" w14:textId="77777777" w:rsidR="00863A18" w:rsidRPr="00923C59" w:rsidRDefault="00863A18">
      <w:pPr>
        <w:pStyle w:val="Prrafodelista"/>
        <w:numPr>
          <w:ilvl w:val="0"/>
          <w:numId w:val="7"/>
        </w:numPr>
        <w:spacing w:after="40" w:line="276" w:lineRule="auto"/>
        <w:rPr>
          <w:b w:val="0"/>
          <w:bCs w:val="0"/>
        </w:rPr>
      </w:pPr>
      <w:r>
        <w:rPr>
          <w:b w:val="0"/>
          <w:bCs w:val="0"/>
          <w:color w:val="000000"/>
        </w:rPr>
        <w:t>Descripción del problema o necesidad que se busca resolver.</w:t>
      </w:r>
    </w:p>
    <w:p w14:paraId="5DE4890C" w14:textId="77777777" w:rsidR="00863A18" w:rsidRPr="00923C59" w:rsidRDefault="00863A18">
      <w:pPr>
        <w:pStyle w:val="Prrafodelista"/>
        <w:numPr>
          <w:ilvl w:val="0"/>
          <w:numId w:val="7"/>
        </w:numPr>
        <w:spacing w:after="40" w:line="276" w:lineRule="auto"/>
        <w:rPr>
          <w:b w:val="0"/>
          <w:bCs w:val="0"/>
        </w:rPr>
      </w:pPr>
      <w:r>
        <w:rPr>
          <w:b w:val="0"/>
          <w:bCs w:val="0"/>
          <w:color w:val="000000"/>
        </w:rPr>
        <w:t>Situación actual (línea base): volumen de operaciones, tiempo promedio, recursos asignados.</w:t>
      </w:r>
    </w:p>
    <w:p w14:paraId="236A6E6C" w14:textId="77777777" w:rsidR="00863A18" w:rsidRPr="00923C59" w:rsidRDefault="00863A18">
      <w:pPr>
        <w:pStyle w:val="Prrafodelista"/>
        <w:numPr>
          <w:ilvl w:val="0"/>
          <w:numId w:val="7"/>
        </w:numPr>
        <w:spacing w:after="40" w:line="276" w:lineRule="auto"/>
        <w:rPr>
          <w:b w:val="0"/>
          <w:bCs w:val="0"/>
        </w:rPr>
      </w:pPr>
      <w:r>
        <w:rPr>
          <w:b w:val="0"/>
          <w:bCs w:val="0"/>
          <w:color w:val="000000"/>
        </w:rPr>
        <w:t>Objetivo estratégico del PEI con el que se alinea (código y denominación).</w:t>
      </w:r>
    </w:p>
    <w:p w14:paraId="451AEFA3" w14:textId="77777777" w:rsidR="0018147B" w:rsidRDefault="00000000">
      <w:pPr>
        <w:spacing w:before="120" w:after="40" w:line="276" w:lineRule="auto"/>
        <w:jc w:val="both"/>
        <w:rPr>
          <w:rFonts w:ascii="Arial" w:hAnsi="Arial" w:cs="Arial"/>
        </w:rPr>
      </w:pPr>
      <w:r>
        <w:rPr>
          <w:rFonts w:ascii="Arial" w:eastAsia="Arial" w:hAnsi="Arial" w:cs="Arial"/>
          <w:b/>
          <w:bCs/>
          <w:color w:val="000000"/>
          <w:highlight w:val="yellow"/>
        </w:rPr>
        <w:t>Sección 3 — Impacto organizacional:</w:t>
      </w:r>
    </w:p>
    <w:p w14:paraId="35682837" w14:textId="77777777" w:rsidR="0018147B" w:rsidRDefault="00000000">
      <w:pPr>
        <w:pStyle w:val="Prrafodelista"/>
        <w:numPr>
          <w:ilvl w:val="0"/>
          <w:numId w:val="7"/>
        </w:numPr>
        <w:spacing w:after="40" w:line="276" w:lineRule="auto"/>
        <w:rPr>
          <w:b w:val="0"/>
          <w:bCs w:val="0"/>
        </w:rPr>
      </w:pPr>
      <w:r>
        <w:rPr>
          <w:b w:val="0"/>
          <w:bCs w:val="0"/>
          <w:color w:val="000000"/>
          <w:highlight w:val="yellow"/>
        </w:rPr>
        <w:t>Precisar si la iniciativa genera impacto organizacional e identificar los procesos, áreas, puestos, personas y capacidades técnicas involucrados.</w:t>
      </w:r>
    </w:p>
    <w:p w14:paraId="77DBA450" w14:textId="77777777" w:rsidR="0018147B" w:rsidRDefault="00000000">
      <w:pPr>
        <w:spacing w:before="120" w:after="40" w:line="276" w:lineRule="auto"/>
        <w:jc w:val="both"/>
        <w:rPr>
          <w:rFonts w:ascii="Arial" w:hAnsi="Arial" w:cs="Arial"/>
        </w:rPr>
      </w:pPr>
      <w:r>
        <w:rPr>
          <w:rFonts w:ascii="Arial" w:eastAsia="Arial" w:hAnsi="Arial" w:cs="Arial"/>
          <w:b/>
          <w:bCs/>
          <w:color w:val="000000"/>
          <w:highlight w:val="yellow"/>
        </w:rPr>
        <w:t>Sección 4 — Generación de valor:</w:t>
      </w:r>
    </w:p>
    <w:p w14:paraId="403B8534" w14:textId="77777777" w:rsidR="00863A18" w:rsidRPr="00923C59" w:rsidRDefault="00863A18">
      <w:pPr>
        <w:pStyle w:val="Prrafodelista"/>
        <w:numPr>
          <w:ilvl w:val="0"/>
          <w:numId w:val="7"/>
        </w:numPr>
        <w:spacing w:after="40" w:line="276" w:lineRule="auto"/>
        <w:rPr>
          <w:b w:val="0"/>
          <w:bCs w:val="0"/>
        </w:rPr>
      </w:pPr>
      <w:r>
        <w:rPr>
          <w:b w:val="0"/>
          <w:bCs w:val="0"/>
          <w:color w:val="000000"/>
        </w:rPr>
        <w:t>Beneficio esperado cuantificado: horas-persona liberadas, reducción de tiempos de proceso, mejora en tasas de detección, incremento de recaudación estimada u otro indicador medible.</w:t>
      </w:r>
    </w:p>
    <w:p w14:paraId="4671E459" w14:textId="77777777" w:rsidR="00863A18" w:rsidRPr="00923C59" w:rsidRDefault="00863A18">
      <w:pPr>
        <w:pStyle w:val="Prrafodelista"/>
        <w:numPr>
          <w:ilvl w:val="0"/>
          <w:numId w:val="7"/>
        </w:numPr>
        <w:spacing w:after="40" w:line="276" w:lineRule="auto"/>
        <w:rPr>
          <w:b w:val="0"/>
          <w:bCs w:val="0"/>
        </w:rPr>
      </w:pPr>
      <w:r>
        <w:rPr>
          <w:b w:val="0"/>
          <w:bCs w:val="0"/>
          <w:color w:val="000000"/>
        </w:rPr>
        <w:t>Beneficios cualitativos complementarios (si aplica).</w:t>
      </w:r>
    </w:p>
    <w:p w14:paraId="1A51F69D" w14:textId="77777777" w:rsidR="0018147B" w:rsidRDefault="00000000">
      <w:pPr>
        <w:pStyle w:val="Prrafodelista"/>
        <w:numPr>
          <w:ilvl w:val="0"/>
          <w:numId w:val="7"/>
        </w:numPr>
        <w:spacing w:after="40" w:line="276" w:lineRule="auto"/>
        <w:rPr>
          <w:b w:val="0"/>
          <w:bCs w:val="0"/>
        </w:rPr>
      </w:pPr>
      <w:r>
        <w:rPr>
          <w:b w:val="0"/>
          <w:bCs w:val="0"/>
          <w:color w:val="000000"/>
          <w:highlight w:val="yellow"/>
        </w:rPr>
        <w:t>El beneficio puede sustentarse a nivel de un conjunto o programa de SBIA cuando la iniciativa forme parte de un portafolio institucional.</w:t>
      </w:r>
    </w:p>
    <w:p w14:paraId="556E9510" w14:textId="77777777" w:rsidR="00863A18" w:rsidRPr="00923C59" w:rsidRDefault="00863A18">
      <w:pPr>
        <w:pStyle w:val="Prrafodelista"/>
        <w:numPr>
          <w:ilvl w:val="0"/>
          <w:numId w:val="7"/>
        </w:numPr>
        <w:spacing w:after="40" w:line="276" w:lineRule="auto"/>
        <w:rPr>
          <w:b w:val="0"/>
          <w:bCs w:val="0"/>
        </w:rPr>
      </w:pPr>
      <w:r>
        <w:rPr>
          <w:b w:val="0"/>
          <w:bCs w:val="0"/>
          <w:color w:val="000000"/>
        </w:rPr>
        <w:t>Métrica de éxito propuesta y plazo de medición.</w:t>
      </w:r>
    </w:p>
    <w:p w14:paraId="0E597137" w14:textId="77777777" w:rsidR="0018147B" w:rsidRDefault="00000000">
      <w:pPr>
        <w:spacing w:before="120" w:after="40" w:line="276" w:lineRule="auto"/>
        <w:jc w:val="both"/>
        <w:rPr>
          <w:rFonts w:ascii="Arial" w:hAnsi="Arial" w:cs="Arial"/>
        </w:rPr>
      </w:pPr>
      <w:r>
        <w:rPr>
          <w:rFonts w:ascii="Arial" w:eastAsia="Arial" w:hAnsi="Arial" w:cs="Arial"/>
          <w:b/>
          <w:bCs/>
          <w:color w:val="000000"/>
          <w:highlight w:val="yellow"/>
        </w:rPr>
        <w:t>Sección 5 — Inversión y sostenibilidad:</w:t>
      </w:r>
    </w:p>
    <w:p w14:paraId="1858FBC3" w14:textId="77777777" w:rsidR="00863A18" w:rsidRPr="00923C59" w:rsidRDefault="00863A18">
      <w:pPr>
        <w:pStyle w:val="Prrafodelista"/>
        <w:numPr>
          <w:ilvl w:val="0"/>
          <w:numId w:val="7"/>
        </w:numPr>
        <w:spacing w:after="40" w:line="276" w:lineRule="auto"/>
        <w:rPr>
          <w:b w:val="0"/>
          <w:bCs w:val="0"/>
        </w:rPr>
      </w:pPr>
      <w:r>
        <w:rPr>
          <w:b w:val="0"/>
          <w:bCs w:val="0"/>
          <w:color w:val="000000"/>
        </w:rPr>
        <w:t>Estimación de inversión inicial (infraestructura, licencias, servicios, horas de desarrollo</w:t>
      </w:r>
      <w:r>
        <w:rPr>
          <w:b w:val="0"/>
          <w:bCs w:val="0"/>
          <w:highlight w:val="cyan"/>
        </w:rPr>
        <w:t>/servicios de desarrollo).</w:t>
      </w:r>
    </w:p>
    <w:p w14:paraId="28BF24D5" w14:textId="77777777" w:rsidR="00863A18" w:rsidRPr="00923C59" w:rsidRDefault="00863A18">
      <w:pPr>
        <w:pStyle w:val="Prrafodelista"/>
        <w:numPr>
          <w:ilvl w:val="0"/>
          <w:numId w:val="7"/>
        </w:numPr>
        <w:spacing w:after="40" w:line="276" w:lineRule="auto"/>
        <w:rPr>
          <w:b w:val="0"/>
          <w:bCs w:val="0"/>
        </w:rPr>
      </w:pPr>
      <w:r>
        <w:rPr>
          <w:b w:val="0"/>
          <w:bCs w:val="0"/>
          <w:color w:val="000000"/>
        </w:rPr>
        <w:t>Estimación de costos recurrentes anuales (operación, mantenimiento, licencias, personal dedicado).</w:t>
      </w:r>
    </w:p>
    <w:p w14:paraId="47F4D3AC" w14:textId="77777777" w:rsidR="00863A18" w:rsidRPr="00923C59" w:rsidRDefault="00863A18">
      <w:pPr>
        <w:pStyle w:val="Prrafodelista"/>
        <w:numPr>
          <w:ilvl w:val="0"/>
          <w:numId w:val="7"/>
        </w:numPr>
        <w:spacing w:after="40" w:line="276" w:lineRule="auto"/>
        <w:rPr>
          <w:b w:val="0"/>
          <w:bCs w:val="0"/>
        </w:rPr>
      </w:pPr>
      <w:r>
        <w:rPr>
          <w:b w:val="0"/>
          <w:bCs w:val="0"/>
          <w:color w:val="000000"/>
        </w:rPr>
        <w:t>Fuente de financiamiento identificada.</w:t>
      </w:r>
    </w:p>
    <w:p w14:paraId="16695497" w14:textId="77777777" w:rsidR="00863A18" w:rsidRPr="00923C59" w:rsidRDefault="00863A18">
      <w:pPr>
        <w:pStyle w:val="Prrafodelista"/>
        <w:numPr>
          <w:ilvl w:val="0"/>
          <w:numId w:val="7"/>
        </w:numPr>
        <w:spacing w:after="40" w:line="276" w:lineRule="auto"/>
        <w:rPr>
          <w:b w:val="0"/>
          <w:bCs w:val="0"/>
        </w:rPr>
      </w:pPr>
      <w:r>
        <w:rPr>
          <w:b w:val="0"/>
          <w:bCs w:val="0"/>
          <w:color w:val="000000"/>
        </w:rPr>
        <w:t>Responsable de la operación y mantenimiento post-despliegue.</w:t>
      </w:r>
    </w:p>
    <w:p w14:paraId="61DED5EF" w14:textId="77777777" w:rsidR="0018147B" w:rsidRDefault="00000000">
      <w:pPr>
        <w:spacing w:before="120" w:after="40" w:line="276" w:lineRule="auto"/>
        <w:jc w:val="both"/>
        <w:rPr>
          <w:rFonts w:ascii="Arial" w:hAnsi="Arial" w:cs="Arial"/>
        </w:rPr>
      </w:pPr>
      <w:r>
        <w:rPr>
          <w:rFonts w:ascii="Arial" w:eastAsia="Arial" w:hAnsi="Arial" w:cs="Arial"/>
          <w:b/>
          <w:bCs/>
          <w:color w:val="000000"/>
          <w:highlight w:val="yellow"/>
        </w:rPr>
        <w:t>Sección 6 — Análisis de alternativas:</w:t>
      </w:r>
    </w:p>
    <w:p w14:paraId="3CC20AB1" w14:textId="77777777" w:rsidR="00863A18" w:rsidRPr="00923C59" w:rsidRDefault="00863A18">
      <w:pPr>
        <w:pStyle w:val="Prrafodelista"/>
        <w:numPr>
          <w:ilvl w:val="0"/>
          <w:numId w:val="7"/>
        </w:numPr>
        <w:spacing w:after="40" w:line="276" w:lineRule="auto"/>
        <w:rPr>
          <w:b w:val="0"/>
          <w:bCs w:val="0"/>
        </w:rPr>
      </w:pPr>
      <w:r>
        <w:rPr>
          <w:b w:val="0"/>
          <w:bCs w:val="0"/>
          <w:color w:val="000000"/>
        </w:rPr>
        <w:t>¿Se evaluaron soluciones que no requieren IA? Describir.</w:t>
      </w:r>
    </w:p>
    <w:p w14:paraId="7B20EC1C" w14:textId="77777777" w:rsidR="00863A18" w:rsidRPr="00923C59" w:rsidRDefault="00863A18">
      <w:pPr>
        <w:pStyle w:val="Prrafodelista"/>
        <w:numPr>
          <w:ilvl w:val="0"/>
          <w:numId w:val="7"/>
        </w:numPr>
        <w:spacing w:after="40" w:line="276" w:lineRule="auto"/>
        <w:rPr>
          <w:b w:val="0"/>
          <w:bCs w:val="0"/>
        </w:rPr>
      </w:pPr>
      <w:r>
        <w:rPr>
          <w:b w:val="0"/>
          <w:bCs w:val="0"/>
          <w:color w:val="000000"/>
        </w:rPr>
        <w:t>Justificación de por qué una solución basada en IA es preferible frente a las alternativas.</w:t>
      </w:r>
    </w:p>
    <w:p w14:paraId="390ED6C6" w14:textId="77777777" w:rsidR="0018147B" w:rsidRDefault="00000000">
      <w:pPr>
        <w:spacing w:before="120" w:after="40" w:line="276" w:lineRule="auto"/>
        <w:jc w:val="both"/>
        <w:rPr>
          <w:rFonts w:ascii="Arial" w:hAnsi="Arial" w:cs="Arial"/>
        </w:rPr>
      </w:pPr>
      <w:r>
        <w:rPr>
          <w:rFonts w:ascii="Arial" w:eastAsia="Arial" w:hAnsi="Arial" w:cs="Arial"/>
          <w:b/>
          <w:bCs/>
          <w:color w:val="000000"/>
          <w:highlight w:val="yellow"/>
        </w:rPr>
        <w:t>Sección 7 — Datos y riesgos preliminares:</w:t>
      </w:r>
    </w:p>
    <w:p w14:paraId="0952334A" w14:textId="77777777" w:rsidR="00863A18" w:rsidRPr="00923C59" w:rsidRDefault="00863A18">
      <w:pPr>
        <w:pStyle w:val="Prrafodelista"/>
        <w:numPr>
          <w:ilvl w:val="0"/>
          <w:numId w:val="7"/>
        </w:numPr>
        <w:spacing w:after="40" w:line="276" w:lineRule="auto"/>
        <w:rPr>
          <w:b w:val="0"/>
          <w:bCs w:val="0"/>
        </w:rPr>
      </w:pPr>
      <w:r>
        <w:rPr>
          <w:b w:val="0"/>
          <w:bCs w:val="0"/>
          <w:color w:val="000000"/>
        </w:rPr>
        <w:t>Datos requeridos (fuentes, tipos, presencia de datos personales o reserva tributaria).</w:t>
      </w:r>
    </w:p>
    <w:p w14:paraId="31864AB1" w14:textId="77777777" w:rsidR="00863A18" w:rsidRPr="00923C59" w:rsidRDefault="00863A18">
      <w:pPr>
        <w:pStyle w:val="Prrafodelista"/>
        <w:numPr>
          <w:ilvl w:val="0"/>
          <w:numId w:val="7"/>
        </w:numPr>
        <w:spacing w:after="40" w:line="276" w:lineRule="auto"/>
        <w:rPr>
          <w:b w:val="0"/>
          <w:bCs w:val="0"/>
        </w:rPr>
      </w:pPr>
      <w:r>
        <w:rPr>
          <w:b w:val="0"/>
          <w:bCs w:val="0"/>
          <w:color w:val="000000"/>
        </w:rPr>
        <w:t>Riesgos preliminares identificados.</w:t>
      </w:r>
    </w:p>
    <w:p w14:paraId="07EC339C" w14:textId="77777777" w:rsidR="00863A18" w:rsidRPr="00923C59" w:rsidRDefault="00863A18">
      <w:pPr>
        <w:pStyle w:val="Prrafodelista"/>
        <w:numPr>
          <w:ilvl w:val="0"/>
          <w:numId w:val="7"/>
        </w:numPr>
        <w:spacing w:after="40" w:line="276" w:lineRule="auto"/>
        <w:rPr>
          <w:b w:val="0"/>
          <w:bCs w:val="0"/>
        </w:rPr>
      </w:pPr>
      <w:r>
        <w:rPr>
          <w:b w:val="0"/>
          <w:bCs w:val="0"/>
          <w:color w:val="000000"/>
        </w:rPr>
        <w:t>Clasificación de riesgo preliminar sugerida por el propietario.</w:t>
      </w:r>
    </w:p>
    <w:p w14:paraId="0B8489D8" w14:textId="77777777" w:rsidR="0018147B" w:rsidRDefault="00000000">
      <w:pPr>
        <w:spacing w:before="120" w:after="40" w:line="276" w:lineRule="auto"/>
        <w:jc w:val="both"/>
        <w:rPr>
          <w:rFonts w:ascii="Arial" w:hAnsi="Arial" w:cs="Arial"/>
        </w:rPr>
      </w:pPr>
      <w:r>
        <w:rPr>
          <w:rFonts w:ascii="Arial" w:eastAsia="Arial" w:hAnsi="Arial" w:cs="Arial"/>
          <w:b/>
          <w:bCs/>
          <w:color w:val="000000"/>
          <w:highlight w:val="yellow"/>
        </w:rPr>
        <w:lastRenderedPageBreak/>
        <w:t>Sección 8 — Firmas:</w:t>
      </w:r>
    </w:p>
    <w:p w14:paraId="76A8D059" w14:textId="77777777" w:rsidR="00863A18" w:rsidRPr="00923C59" w:rsidRDefault="00863A18">
      <w:pPr>
        <w:pStyle w:val="Prrafodelista"/>
        <w:numPr>
          <w:ilvl w:val="0"/>
          <w:numId w:val="7"/>
        </w:numPr>
        <w:spacing w:after="40" w:line="276" w:lineRule="auto"/>
        <w:rPr>
          <w:b w:val="0"/>
          <w:bCs w:val="0"/>
        </w:rPr>
      </w:pPr>
      <w:r>
        <w:rPr>
          <w:b w:val="0"/>
          <w:bCs w:val="0"/>
          <w:color w:val="000000"/>
        </w:rPr>
        <w:t>Firma del propietario del caso de uso.</w:t>
      </w:r>
    </w:p>
    <w:p w14:paraId="454DDEF7" w14:textId="77777777" w:rsidR="00863A18" w:rsidRPr="00923C59" w:rsidRDefault="00863A18">
      <w:pPr>
        <w:pStyle w:val="Prrafodelista"/>
        <w:numPr>
          <w:ilvl w:val="0"/>
          <w:numId w:val="7"/>
        </w:numPr>
        <w:spacing w:after="40" w:line="276" w:lineRule="auto"/>
      </w:pPr>
      <w:r>
        <w:rPr>
          <w:b w:val="0"/>
          <w:bCs w:val="0"/>
          <w:color w:val="000000"/>
        </w:rPr>
        <w:t>Visto bueno del Intendente de la unidad solicitante.</w:t>
      </w:r>
    </w:p>
    <w:p w14:paraId="576F94A7" w14:textId="77777777" w:rsidR="00ED2DC8" w:rsidRPr="00923C59" w:rsidRDefault="00ED2DC8" w:rsidP="00B23382">
      <w:pPr>
        <w:spacing w:after="0" w:line="276" w:lineRule="auto"/>
        <w:rPr>
          <w:rFonts w:ascii="Arial" w:hAnsi="Arial" w:cs="Arial"/>
        </w:rPr>
      </w:pPr>
    </w:p>
    <w:sectPr w:rsidR="00ED2DC8" w:rsidRPr="00923C59" w:rsidSect="00603B7D">
      <w:headerReference w:type="default" r:id="rId16"/>
      <w:footerReference w:type="default" r:id="rId17"/>
      <w:pgSz w:w="11906" w:h="16838"/>
      <w:pgMar w:top="1701" w:right="1418" w:bottom="1701" w:left="156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Kut Castro Mario Fernando" w:date="2026-07-21T11:30:00Z" w:initials="MK">
    <w:p w14:paraId="3C0FED1C" w14:textId="77777777" w:rsidR="00DE41F6" w:rsidRDefault="00DE41F6" w:rsidP="00DE41F6">
      <w:pPr>
        <w:pStyle w:val="Textocomentario"/>
      </w:pPr>
      <w:r>
        <w:rPr>
          <w:rStyle w:val="Refdecomentario"/>
        </w:rPr>
        <w:annotationRef/>
      </w:r>
      <w:r>
        <w:t xml:space="preserve">Revisar </w:t>
      </w:r>
    </w:p>
  </w:comment>
  <w:comment w:id="7" w:author="Kut Castro Mario Fernando" w:date="2026-07-21T11:27:00Z" w:initials="MK">
    <w:p w14:paraId="2EB03F52" w14:textId="77777777" w:rsidR="00DE41F6" w:rsidRDefault="00DE41F6" w:rsidP="00DE41F6">
      <w:pPr>
        <w:pStyle w:val="Textocomentario"/>
      </w:pPr>
      <w:r>
        <w:rPr>
          <w:rStyle w:val="Refdecomentario"/>
        </w:rPr>
        <w:annotationRef/>
      </w:r>
      <w:r>
        <w:t>Representantes INGP, INER, INDIA, (Para revisión del ROF), a evaluar.</w:t>
      </w:r>
    </w:p>
  </w:comment>
  <w:comment w:id="9" w:author="Kut Castro Mario Fernando" w:date="2026-07-21T11:40:00Z" w:initials="MK">
    <w:p w14:paraId="7A362A96" w14:textId="77777777" w:rsidR="00C66B57" w:rsidRDefault="00C66B57" w:rsidP="00C66B57">
      <w:pPr>
        <w:pStyle w:val="Textocomentario"/>
      </w:pPr>
      <w:r>
        <w:rPr>
          <w:rStyle w:val="Refdecomentario"/>
        </w:rPr>
        <w:annotationRef/>
      </w:r>
      <w:r>
        <w:t>Analizar bajo METDONI.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C0FED1C" w15:done="0"/>
  <w15:commentEx w15:paraId="2EB03F52" w15:done="0"/>
  <w15:commentEx w15:paraId="7A362A9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387E4DA" w16cex:dateUtc="2026-07-21T16:30:00Z"/>
  <w16cex:commentExtensible w16cex:durableId="2C51B84E" w16cex:dateUtc="2026-07-21T16:27:00Z"/>
  <w16cex:commentExtensible w16cex:durableId="29EDEAD0" w16cex:dateUtc="2026-07-21T16: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C0FED1C" w16cid:durableId="6387E4DA"/>
  <w16cid:commentId w16cid:paraId="2EB03F52" w16cid:durableId="2C51B84E"/>
  <w16cid:commentId w16cid:paraId="7A362A96" w16cid:durableId="29EDEAD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294BFC" w14:textId="77777777" w:rsidR="00B26B31" w:rsidRDefault="00B26B31">
      <w:pPr>
        <w:spacing w:after="0" w:line="240" w:lineRule="auto"/>
      </w:pPr>
      <w:r>
        <w:separator/>
      </w:r>
    </w:p>
  </w:endnote>
  <w:endnote w:type="continuationSeparator" w:id="0">
    <w:p w14:paraId="2BCEB3B6" w14:textId="77777777" w:rsidR="00B26B31" w:rsidRDefault="00B26B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44DF2" w14:textId="77777777" w:rsidR="00B87F34" w:rsidRPr="00833450" w:rsidRDefault="00B87F34" w:rsidP="0083345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22A82B" w14:textId="77777777" w:rsidR="00B26B31" w:rsidRDefault="00B26B31">
      <w:pPr>
        <w:spacing w:after="0" w:line="240" w:lineRule="auto"/>
      </w:pPr>
      <w:r>
        <w:separator/>
      </w:r>
    </w:p>
  </w:footnote>
  <w:footnote w:type="continuationSeparator" w:id="0">
    <w:p w14:paraId="4F22A55B" w14:textId="77777777" w:rsidR="00B26B31" w:rsidRDefault="00B26B31">
      <w:pPr>
        <w:spacing w:after="0" w:line="240" w:lineRule="auto"/>
      </w:pPr>
      <w:r>
        <w:continuationSeparator/>
      </w:r>
    </w:p>
  </w:footnote>
  <w:footnote w:id="1">
    <w:p w14:paraId="4793C922" w14:textId="77777777" w:rsidR="00594919" w:rsidRDefault="00000000">
      <w:pPr>
        <w:pStyle w:val="Textonotapie"/>
      </w:pPr>
      <w:r>
        <w:rPr>
          <w:rStyle w:val="Refdenotaalpie"/>
        </w:rPr>
        <w:footnoteRef/>
      </w:r>
      <w:r>
        <w:rPr>
          <w:rFonts w:ascii="Arial" w:hAnsi="Arial" w:cs="Arial"/>
        </w:rPr>
        <w:t xml:space="preserve"> Numeral 30.1 del artículo 30 del RLIA.</w:t>
      </w:r>
    </w:p>
  </w:footnote>
  <w:footnote w:id="2">
    <w:p w14:paraId="0B97E86F" w14:textId="77777777" w:rsidR="00594919" w:rsidRDefault="00000000">
      <w:pPr>
        <w:pStyle w:val="Textonotapie"/>
      </w:pPr>
      <w:r>
        <w:rPr>
          <w:rStyle w:val="Refdenotaalpie"/>
        </w:rPr>
        <w:footnoteRef/>
      </w:r>
      <w:r>
        <w:rPr>
          <w:rFonts w:ascii="Arial" w:hAnsi="Arial" w:cs="Arial"/>
        </w:rPr>
        <w:t xml:space="preserve"> Numeral 30.2 del artículo 30 del RLIA.</w:t>
      </w:r>
    </w:p>
  </w:footnote>
  <w:footnote w:id="3">
    <w:p w14:paraId="5DBC9DF3" w14:textId="77777777" w:rsidR="00594919" w:rsidRDefault="00000000">
      <w:pPr>
        <w:pStyle w:val="Textonotapie"/>
      </w:pPr>
      <w:r>
        <w:rPr>
          <w:rStyle w:val="Refdenotaalpie"/>
        </w:rPr>
        <w:footnoteRef/>
      </w:r>
      <w:r>
        <w:rPr>
          <w:rFonts w:ascii="Arial" w:hAnsi="Arial" w:cs="Arial"/>
        </w:rPr>
        <w:t xml:space="preserve"> En particular, el numeral 28.6 del artículo 28 del RLIA.</w:t>
      </w:r>
    </w:p>
  </w:footnote>
  <w:footnote w:id="4">
    <w:p w14:paraId="280452E3" w14:textId="77777777" w:rsidR="00594919" w:rsidRDefault="00000000">
      <w:pPr>
        <w:pStyle w:val="Textonotapie"/>
      </w:pPr>
      <w:r>
        <w:rPr>
          <w:rStyle w:val="Refdenotaalpie"/>
        </w:rPr>
        <w:footnoteRef/>
      </w:r>
      <w:r>
        <w:rPr>
          <w:rFonts w:ascii="Arial" w:hAnsi="Arial" w:cs="Arial"/>
        </w:rPr>
        <w:t xml:space="preserve"> Numeral 28.11 del artículo 28 del RLIA.</w:t>
      </w:r>
    </w:p>
  </w:footnote>
  <w:footnote w:id="5">
    <w:p w14:paraId="48EC9F9D" w14:textId="77777777" w:rsidR="00594919" w:rsidRDefault="00000000">
      <w:pPr>
        <w:pStyle w:val="Textonotapie"/>
      </w:pPr>
      <w:r>
        <w:rPr>
          <w:rStyle w:val="Refdenotaalpie"/>
        </w:rPr>
        <w:footnoteRef/>
      </w:r>
      <w:r>
        <w:rPr>
          <w:rFonts w:ascii="Arial" w:hAnsi="Arial" w:cs="Arial"/>
        </w:rPr>
        <w:t xml:space="preserve"> En cumplimiento del literal d) del artículo 29 del RLIA.</w:t>
      </w:r>
    </w:p>
  </w:footnote>
  <w:footnote w:id="6">
    <w:p w14:paraId="38B41903" w14:textId="77777777" w:rsidR="00594919" w:rsidRDefault="00000000">
      <w:pPr>
        <w:pStyle w:val="Textonotapie"/>
      </w:pPr>
      <w:r>
        <w:rPr>
          <w:rStyle w:val="Refdenotaalpie"/>
        </w:rPr>
        <w:footnoteRef/>
      </w:r>
      <w:r>
        <w:rPr>
          <w:rFonts w:ascii="Arial" w:hAnsi="Arial" w:cs="Arial"/>
        </w:rPr>
        <w:t xml:space="preserve"> Numeral 9.6 del artículo 9 del RLIA.</w:t>
      </w:r>
    </w:p>
  </w:footnote>
  <w:footnote w:id="7">
    <w:p w14:paraId="70304CCC" w14:textId="77777777" w:rsidR="00594919" w:rsidRDefault="00000000">
      <w:pPr>
        <w:pStyle w:val="Textonotapie"/>
      </w:pPr>
      <w:r>
        <w:rPr>
          <w:rStyle w:val="Refdenotaalpie"/>
        </w:rPr>
        <w:footnoteRef/>
      </w:r>
      <w:r>
        <w:rPr>
          <w:rFonts w:ascii="Arial" w:hAnsi="Arial" w:cs="Arial"/>
        </w:rPr>
        <w:t xml:space="preserve"> NTP-ISO/IEC 42001:2025 de uso obligatorio según el numeral 28.2 del artículo 28 del RLIA.</w:t>
      </w:r>
    </w:p>
  </w:footnote>
  <w:footnote w:id="8">
    <w:p w14:paraId="07FF1D9B" w14:textId="77777777" w:rsidR="00594919" w:rsidRDefault="00000000">
      <w:pPr>
        <w:pStyle w:val="Textonotapie"/>
      </w:pPr>
      <w:r>
        <w:rPr>
          <w:rStyle w:val="Refdenotaalpie"/>
        </w:rPr>
        <w:footnoteRef/>
      </w:r>
      <w:r>
        <w:rPr>
          <w:rFonts w:ascii="Arial" w:hAnsi="Arial" w:cs="Arial"/>
        </w:rPr>
        <w:t xml:space="preserve"> Numeral 9.5 del artículo 9 del RLIA.</w:t>
      </w:r>
    </w:p>
  </w:footnote>
  <w:footnote w:id="9">
    <w:p w14:paraId="611F8193" w14:textId="77777777" w:rsidR="00594919" w:rsidRDefault="00000000">
      <w:pPr>
        <w:pStyle w:val="Textonotapie"/>
      </w:pPr>
      <w:r>
        <w:rPr>
          <w:rStyle w:val="Refdenotaalpie"/>
        </w:rPr>
        <w:footnoteRef/>
      </w:r>
      <w:r>
        <w:rPr>
          <w:rFonts w:ascii="Arial" w:hAnsi="Arial" w:cs="Arial"/>
        </w:rPr>
        <w:t xml:space="preserve"> Numeral 68.2 del artículo 68 del Decreto Supremo N.° 029-2021-PCM.</w:t>
      </w:r>
    </w:p>
  </w:footnote>
  <w:footnote w:id="10">
    <w:p w14:paraId="10BABC12" w14:textId="77777777" w:rsidR="00594919" w:rsidRDefault="00000000">
      <w:pPr>
        <w:pStyle w:val="Textonotapie"/>
      </w:pPr>
      <w:r>
        <w:rPr>
          <w:rStyle w:val="Refdenotaalpie"/>
        </w:rPr>
        <w:footnoteRef/>
      </w:r>
      <w:r>
        <w:rPr>
          <w:rFonts w:ascii="Arial" w:hAnsi="Arial" w:cs="Arial"/>
        </w:rPr>
        <w:t xml:space="preserve"> Literal d) del artículo 7 del RLIA.</w:t>
      </w:r>
    </w:p>
  </w:footnote>
  <w:footnote w:id="11">
    <w:p w14:paraId="66CDC5F2" w14:textId="77777777" w:rsidR="00594919" w:rsidRDefault="00000000">
      <w:pPr>
        <w:pStyle w:val="Textonotapie"/>
      </w:pPr>
      <w:r>
        <w:rPr>
          <w:rStyle w:val="Refdenotaalpie"/>
        </w:rPr>
        <w:footnoteRef/>
      </w:r>
      <w:r>
        <w:rPr>
          <w:rFonts w:ascii="Arial" w:hAnsi="Arial" w:cs="Arial"/>
        </w:rPr>
        <w:t xml:space="preserve"> Numeral 25.1 del artículo 25 del RLIA.</w:t>
      </w:r>
    </w:p>
  </w:footnote>
  <w:footnote w:id="12">
    <w:p w14:paraId="7F2FB2B9" w14:textId="77777777" w:rsidR="00594919" w:rsidRDefault="00000000">
      <w:pPr>
        <w:pStyle w:val="Textonotapie"/>
      </w:pPr>
      <w:r>
        <w:rPr>
          <w:rStyle w:val="Refdenotaalpie"/>
        </w:rPr>
        <w:footnoteRef/>
      </w:r>
      <w:r>
        <w:rPr>
          <w:rFonts w:ascii="Arial" w:hAnsi="Arial" w:cs="Arial"/>
        </w:rPr>
        <w:t xml:space="preserve"> Responsabilidad prevista en el numeral 9.3 del artículo 9 del RLIA.</w:t>
      </w:r>
    </w:p>
  </w:footnote>
  <w:footnote w:id="13">
    <w:p w14:paraId="63E84CEE" w14:textId="77777777" w:rsidR="00594919" w:rsidRDefault="00000000">
      <w:pPr>
        <w:pStyle w:val="Textonotapie"/>
      </w:pPr>
      <w:r>
        <w:rPr>
          <w:rStyle w:val="Refdenotaalpie"/>
        </w:rPr>
        <w:footnoteRef/>
      </w:r>
      <w:r>
        <w:rPr>
          <w:rFonts w:ascii="Arial" w:hAnsi="Arial" w:cs="Arial"/>
        </w:rPr>
        <w:t xml:space="preserve"> Numeral 25.4 del artículo 25 del RLIA.</w:t>
      </w:r>
    </w:p>
  </w:footnote>
  <w:footnote w:id="14">
    <w:p w14:paraId="61DC2BB0" w14:textId="77777777" w:rsidR="00594919" w:rsidRDefault="00000000">
      <w:pPr>
        <w:pStyle w:val="Textonotapie"/>
      </w:pPr>
      <w:r>
        <w:rPr>
          <w:rStyle w:val="Refdenotaalpie"/>
        </w:rPr>
        <w:footnoteRef/>
      </w:r>
      <w:r>
        <w:rPr>
          <w:rFonts w:ascii="Arial" w:hAnsi="Arial" w:cs="Arial"/>
        </w:rPr>
        <w:t xml:space="preserve"> Numeral 27.1 del artículo 27 del RLIA.</w:t>
      </w:r>
    </w:p>
  </w:footnote>
  <w:footnote w:id="15">
    <w:p w14:paraId="5684E7FC" w14:textId="77777777" w:rsidR="00594919" w:rsidRDefault="00000000">
      <w:pPr>
        <w:pStyle w:val="Textonotapie"/>
      </w:pPr>
      <w:r>
        <w:rPr>
          <w:rStyle w:val="Refdenotaalpie"/>
        </w:rPr>
        <w:footnoteRef/>
      </w:r>
      <w:r>
        <w:rPr>
          <w:rFonts w:ascii="Arial" w:hAnsi="Arial" w:cs="Arial"/>
        </w:rPr>
        <w:t xml:space="preserve"> Numeral 28.9 del artículo 28 del RLIA.</w:t>
      </w:r>
    </w:p>
  </w:footnote>
  <w:footnote w:id="16">
    <w:p w14:paraId="43C4A1B6" w14:textId="77777777" w:rsidR="00594919" w:rsidRDefault="00000000">
      <w:pPr>
        <w:pStyle w:val="Textonotapie"/>
      </w:pPr>
      <w:r>
        <w:rPr>
          <w:rStyle w:val="Refdenotaalpie"/>
        </w:rPr>
        <w:footnoteRef/>
      </w:r>
      <w:r>
        <w:rPr>
          <w:rFonts w:ascii="Arial" w:hAnsi="Arial" w:cs="Arial"/>
        </w:rPr>
        <w:t xml:space="preserve"> Numeral 27.2 del artículo 27 y Segunda Disposición Complementaria Final del RLIA.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3618" w:type="pct"/>
      <w:jc w:val="right"/>
      <w:tblLook w:val="01E0" w:firstRow="1" w:lastRow="1" w:firstColumn="1" w:lastColumn="1" w:noHBand="0" w:noVBand="0"/>
    </w:tblPr>
    <w:tblGrid>
      <w:gridCol w:w="5712"/>
      <w:gridCol w:w="646"/>
    </w:tblGrid>
    <w:tr w:rsidR="00325777" w:rsidRPr="008533F2" w14:paraId="79E358ED" w14:textId="77777777" w:rsidTr="00BE16A3">
      <w:trPr>
        <w:trHeight w:val="474"/>
        <w:jc w:val="right"/>
      </w:trPr>
      <w:tc>
        <w:tcPr>
          <w:tcW w:w="4492" w:type="pct"/>
          <w:tcBorders>
            <w:right w:val="single" w:sz="6" w:space="0" w:color="000000"/>
          </w:tcBorders>
        </w:tcPr>
        <w:p w14:paraId="56CE6EB2" w14:textId="77777777" w:rsidR="00325777" w:rsidRPr="008533F2" w:rsidRDefault="00325777" w:rsidP="00ED2DC8">
          <w:pPr>
            <w:pStyle w:val="Sangra2detindependiente"/>
            <w:spacing w:line="240" w:lineRule="auto"/>
            <w:jc w:val="right"/>
            <w:rPr>
              <w:sz w:val="16"/>
              <w:szCs w:val="16"/>
            </w:rPr>
          </w:pPr>
          <w:r w:rsidRPr="00AE05CD">
            <w:rPr>
              <w:sz w:val="16"/>
              <w:szCs w:val="16"/>
            </w:rPr>
            <w:t>Directiva de Gobierno, Gestión del Ciclo de Vida y Uso Responsable de los Sistemas Basados en Inteligencia Artificial en la SUNAT</w:t>
          </w:r>
          <w:r w:rsidR="00ED2DC8">
            <w:rPr>
              <w:sz w:val="16"/>
              <w:szCs w:val="16"/>
            </w:rPr>
            <w:t xml:space="preserve"> </w:t>
          </w:r>
          <w:r w:rsidRPr="00AE05CD">
            <w:rPr>
              <w:sz w:val="16"/>
              <w:szCs w:val="16"/>
            </w:rPr>
            <w:t>Versión 1.0</w:t>
          </w:r>
        </w:p>
      </w:tc>
      <w:tc>
        <w:tcPr>
          <w:tcW w:w="508" w:type="pct"/>
          <w:tcBorders>
            <w:left w:val="single" w:sz="6" w:space="0" w:color="000000"/>
          </w:tcBorders>
        </w:tcPr>
        <w:p w14:paraId="48798B57" w14:textId="77777777" w:rsidR="00325777" w:rsidRPr="008533F2" w:rsidRDefault="00325777" w:rsidP="00325777">
          <w:pPr>
            <w:pStyle w:val="Encabezado"/>
            <w:tabs>
              <w:tab w:val="left" w:pos="-37"/>
            </w:tabs>
            <w:spacing w:line="240" w:lineRule="auto"/>
            <w:ind w:right="-139"/>
            <w:rPr>
              <w:b/>
              <w:sz w:val="16"/>
              <w:szCs w:val="16"/>
            </w:rPr>
          </w:pPr>
          <w:r w:rsidRPr="008533F2">
            <w:rPr>
              <w:sz w:val="16"/>
              <w:szCs w:val="16"/>
            </w:rPr>
            <w:fldChar w:fldCharType="begin"/>
          </w:r>
          <w:r w:rsidRPr="008533F2">
            <w:rPr>
              <w:sz w:val="16"/>
              <w:szCs w:val="16"/>
            </w:rPr>
            <w:instrText xml:space="preserve"> PAGE   \* MERGEFORMAT </w:instrText>
          </w:r>
          <w:r w:rsidRPr="008533F2">
            <w:rPr>
              <w:sz w:val="16"/>
              <w:szCs w:val="16"/>
            </w:rPr>
            <w:fldChar w:fldCharType="separate"/>
          </w:r>
          <w:r>
            <w:rPr>
              <w:sz w:val="16"/>
              <w:szCs w:val="16"/>
            </w:rPr>
            <w:t>4</w:t>
          </w:r>
          <w:r w:rsidRPr="008533F2">
            <w:rPr>
              <w:sz w:val="16"/>
              <w:szCs w:val="16"/>
            </w:rPr>
            <w:fldChar w:fldCharType="end"/>
          </w:r>
          <w:r w:rsidRPr="008533F2">
            <w:rPr>
              <w:sz w:val="16"/>
              <w:szCs w:val="16"/>
            </w:rPr>
            <w:t>/</w:t>
          </w:r>
          <w:r w:rsidRPr="008533F2">
            <w:rPr>
              <w:sz w:val="16"/>
              <w:szCs w:val="16"/>
            </w:rPr>
            <w:fldChar w:fldCharType="begin"/>
          </w:r>
          <w:r w:rsidRPr="008533F2">
            <w:rPr>
              <w:sz w:val="16"/>
              <w:szCs w:val="16"/>
            </w:rPr>
            <w:instrText xml:space="preserve"> NUMPAGES   \* MERGEFORMAT </w:instrText>
          </w:r>
          <w:r w:rsidRPr="008533F2">
            <w:rPr>
              <w:sz w:val="16"/>
              <w:szCs w:val="16"/>
            </w:rPr>
            <w:fldChar w:fldCharType="separate"/>
          </w:r>
          <w:r>
            <w:rPr>
              <w:sz w:val="16"/>
              <w:szCs w:val="16"/>
            </w:rPr>
            <w:t>19</w:t>
          </w:r>
          <w:r w:rsidRPr="008533F2">
            <w:rPr>
              <w:sz w:val="16"/>
              <w:szCs w:val="16"/>
            </w:rPr>
            <w:fldChar w:fldCharType="end"/>
          </w:r>
        </w:p>
      </w:tc>
    </w:tr>
  </w:tbl>
  <w:p w14:paraId="21D77183" w14:textId="77777777" w:rsidR="00325777" w:rsidRPr="008533F2" w:rsidRDefault="00325777" w:rsidP="00325777">
    <w:pPr>
      <w:pStyle w:val="Encabezado"/>
      <w:pBdr>
        <w:bottom w:val="single" w:sz="4" w:space="1" w:color="auto"/>
      </w:pBdr>
      <w:rPr>
        <w:sz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E1CD3"/>
    <w:multiLevelType w:val="hybridMultilevel"/>
    <w:tmpl w:val="10F8470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C891F1A"/>
    <w:multiLevelType w:val="hybridMultilevel"/>
    <w:tmpl w:val="F53E0678"/>
    <w:lvl w:ilvl="0" w:tplc="280A0017">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D2922A1"/>
    <w:multiLevelType w:val="multilevel"/>
    <w:tmpl w:val="349830C2"/>
    <w:lvl w:ilvl="0">
      <w:start w:val="1"/>
      <w:numFmt w:val="upperRoman"/>
      <w:pStyle w:val="Ttulo1"/>
      <w:lvlText w:val="%1."/>
      <w:lvlJc w:val="left"/>
      <w:pPr>
        <w:ind w:left="1080" w:hanging="720"/>
      </w:pPr>
      <w:rPr>
        <w:rFonts w:hint="default"/>
      </w:rPr>
    </w:lvl>
    <w:lvl w:ilvl="1">
      <w:start w:val="1"/>
      <w:numFmt w:val="decimal"/>
      <w:isLgl/>
      <w:lvlText w:val="%1.%2"/>
      <w:lvlJc w:val="left"/>
      <w:pPr>
        <w:ind w:left="1183" w:hanging="790"/>
      </w:pPr>
      <w:rPr>
        <w:rFonts w:hint="default"/>
      </w:rPr>
    </w:lvl>
    <w:lvl w:ilvl="2">
      <w:start w:val="2"/>
      <w:numFmt w:val="decimal"/>
      <w:isLgl/>
      <w:lvlText w:val="%1.%2.%3"/>
      <w:lvlJc w:val="left"/>
      <w:pPr>
        <w:ind w:left="1216" w:hanging="790"/>
      </w:pPr>
      <w:rPr>
        <w:rFonts w:hint="default"/>
      </w:rPr>
    </w:lvl>
    <w:lvl w:ilvl="3">
      <w:start w:val="1"/>
      <w:numFmt w:val="decimal"/>
      <w:isLgl/>
      <w:lvlText w:val="%1.%2.%3.%4"/>
      <w:lvlJc w:val="left"/>
      <w:pPr>
        <w:ind w:left="1249" w:hanging="79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424" w:hanging="1800"/>
      </w:pPr>
      <w:rPr>
        <w:rFonts w:hint="default"/>
      </w:rPr>
    </w:lvl>
  </w:abstractNum>
  <w:abstractNum w:abstractNumId="3" w15:restartNumberingAfterBreak="0">
    <w:nsid w:val="25B376A4"/>
    <w:multiLevelType w:val="hybridMultilevel"/>
    <w:tmpl w:val="721AAEA0"/>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4" w15:restartNumberingAfterBreak="0">
    <w:nsid w:val="26AB2826"/>
    <w:multiLevelType w:val="hybridMultilevel"/>
    <w:tmpl w:val="46300FCC"/>
    <w:lvl w:ilvl="0" w:tplc="280A0019">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18F7021"/>
    <w:multiLevelType w:val="hybridMultilevel"/>
    <w:tmpl w:val="C0D421CE"/>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6" w15:restartNumberingAfterBreak="0">
    <w:nsid w:val="3EA73AEA"/>
    <w:multiLevelType w:val="multilevel"/>
    <w:tmpl w:val="C6F2D288"/>
    <w:lvl w:ilvl="0">
      <w:start w:val="3"/>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3FD80BD6"/>
    <w:multiLevelType w:val="hybridMultilevel"/>
    <w:tmpl w:val="564CF5A6"/>
    <w:lvl w:ilvl="0" w:tplc="280A0017">
      <w:start w:val="1"/>
      <w:numFmt w:val="lowerLetter"/>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3FDD5197"/>
    <w:multiLevelType w:val="hybridMultilevel"/>
    <w:tmpl w:val="C616E36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408E55E4"/>
    <w:multiLevelType w:val="hybridMultilevel"/>
    <w:tmpl w:val="92A8D8CA"/>
    <w:lvl w:ilvl="0" w:tplc="280A0019">
      <w:start w:val="1"/>
      <w:numFmt w:val="lowerLetter"/>
      <w:lvlText w:val="%1."/>
      <w:lvlJc w:val="left"/>
      <w:pPr>
        <w:ind w:left="1996" w:hanging="360"/>
      </w:pPr>
    </w:lvl>
    <w:lvl w:ilvl="1" w:tplc="280A0019">
      <w:start w:val="1"/>
      <w:numFmt w:val="lowerLetter"/>
      <w:lvlText w:val="%2."/>
      <w:lvlJc w:val="left"/>
      <w:pPr>
        <w:ind w:left="2716" w:hanging="360"/>
      </w:pPr>
    </w:lvl>
    <w:lvl w:ilvl="2" w:tplc="280A001B" w:tentative="1">
      <w:start w:val="1"/>
      <w:numFmt w:val="lowerRoman"/>
      <w:lvlText w:val="%3."/>
      <w:lvlJc w:val="right"/>
      <w:pPr>
        <w:ind w:left="3436" w:hanging="180"/>
      </w:pPr>
    </w:lvl>
    <w:lvl w:ilvl="3" w:tplc="280A000F" w:tentative="1">
      <w:start w:val="1"/>
      <w:numFmt w:val="decimal"/>
      <w:lvlText w:val="%4."/>
      <w:lvlJc w:val="left"/>
      <w:pPr>
        <w:ind w:left="4156" w:hanging="360"/>
      </w:pPr>
    </w:lvl>
    <w:lvl w:ilvl="4" w:tplc="280A0019" w:tentative="1">
      <w:start w:val="1"/>
      <w:numFmt w:val="lowerLetter"/>
      <w:lvlText w:val="%5."/>
      <w:lvlJc w:val="left"/>
      <w:pPr>
        <w:ind w:left="4876" w:hanging="360"/>
      </w:pPr>
    </w:lvl>
    <w:lvl w:ilvl="5" w:tplc="280A001B" w:tentative="1">
      <w:start w:val="1"/>
      <w:numFmt w:val="lowerRoman"/>
      <w:lvlText w:val="%6."/>
      <w:lvlJc w:val="right"/>
      <w:pPr>
        <w:ind w:left="5596" w:hanging="180"/>
      </w:pPr>
    </w:lvl>
    <w:lvl w:ilvl="6" w:tplc="280A000F" w:tentative="1">
      <w:start w:val="1"/>
      <w:numFmt w:val="decimal"/>
      <w:lvlText w:val="%7."/>
      <w:lvlJc w:val="left"/>
      <w:pPr>
        <w:ind w:left="6316" w:hanging="360"/>
      </w:pPr>
    </w:lvl>
    <w:lvl w:ilvl="7" w:tplc="280A0019" w:tentative="1">
      <w:start w:val="1"/>
      <w:numFmt w:val="lowerLetter"/>
      <w:lvlText w:val="%8."/>
      <w:lvlJc w:val="left"/>
      <w:pPr>
        <w:ind w:left="7036" w:hanging="360"/>
      </w:pPr>
    </w:lvl>
    <w:lvl w:ilvl="8" w:tplc="280A001B" w:tentative="1">
      <w:start w:val="1"/>
      <w:numFmt w:val="lowerRoman"/>
      <w:lvlText w:val="%9."/>
      <w:lvlJc w:val="right"/>
      <w:pPr>
        <w:ind w:left="7756" w:hanging="180"/>
      </w:pPr>
    </w:lvl>
  </w:abstractNum>
  <w:abstractNum w:abstractNumId="10" w15:restartNumberingAfterBreak="0">
    <w:nsid w:val="43BD5B3E"/>
    <w:multiLevelType w:val="hybridMultilevel"/>
    <w:tmpl w:val="39143236"/>
    <w:lvl w:ilvl="0" w:tplc="280A0019">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1" w15:restartNumberingAfterBreak="0">
    <w:nsid w:val="4B2F08FB"/>
    <w:multiLevelType w:val="hybridMultilevel"/>
    <w:tmpl w:val="39143236"/>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2" w15:restartNumberingAfterBreak="0">
    <w:nsid w:val="59D0517D"/>
    <w:multiLevelType w:val="hybridMultilevel"/>
    <w:tmpl w:val="BE487E52"/>
    <w:lvl w:ilvl="0" w:tplc="280A0019">
      <w:start w:val="1"/>
      <w:numFmt w:val="lowerLetter"/>
      <w:lvlText w:val="%1."/>
      <w:lvlJc w:val="left"/>
      <w:pPr>
        <w:ind w:left="1440" w:hanging="360"/>
      </w:pPr>
    </w:lvl>
    <w:lvl w:ilvl="1" w:tplc="280A0019">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3" w15:restartNumberingAfterBreak="0">
    <w:nsid w:val="5DB76E19"/>
    <w:multiLevelType w:val="hybridMultilevel"/>
    <w:tmpl w:val="EF52A19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 w15:restartNumberingAfterBreak="0">
    <w:nsid w:val="647B13F7"/>
    <w:multiLevelType w:val="multilevel"/>
    <w:tmpl w:val="E2D825EC"/>
    <w:lvl w:ilvl="0">
      <w:start w:val="3"/>
      <w:numFmt w:val="decimal"/>
      <w:lvlText w:val="%1."/>
      <w:lvlJc w:val="left"/>
      <w:pPr>
        <w:ind w:left="360" w:hanging="360"/>
      </w:pPr>
      <w:rPr>
        <w:rFonts w:hint="default"/>
      </w:rPr>
    </w:lvl>
    <w:lvl w:ilvl="1">
      <w:start w:val="1"/>
      <w:numFmt w:val="decimal"/>
      <w:pStyle w:val="BaseNormativa"/>
      <w:lvlText w:val="%1.%2."/>
      <w:lvlJc w:val="left"/>
      <w:pPr>
        <w:ind w:left="1506" w:hanging="720"/>
      </w:pPr>
      <w:rPr>
        <w:rFonts w:hint="default"/>
      </w:rPr>
    </w:lvl>
    <w:lvl w:ilvl="2">
      <w:start w:val="1"/>
      <w:numFmt w:val="decimal"/>
      <w:lvlText w:val="%1.%2.%3."/>
      <w:lvlJc w:val="left"/>
      <w:pPr>
        <w:ind w:left="2292" w:hanging="720"/>
      </w:pPr>
      <w:rPr>
        <w:rFonts w:hint="default"/>
      </w:rPr>
    </w:lvl>
    <w:lvl w:ilvl="3">
      <w:start w:val="1"/>
      <w:numFmt w:val="decimal"/>
      <w:lvlText w:val="%1.%2.%3.%4."/>
      <w:lvlJc w:val="left"/>
      <w:pPr>
        <w:ind w:left="3438" w:hanging="1080"/>
      </w:pPr>
      <w:rPr>
        <w:rFonts w:hint="default"/>
      </w:rPr>
    </w:lvl>
    <w:lvl w:ilvl="4">
      <w:start w:val="1"/>
      <w:numFmt w:val="decimal"/>
      <w:lvlText w:val="%1.%2.%3.%4.%5."/>
      <w:lvlJc w:val="left"/>
      <w:pPr>
        <w:ind w:left="4224" w:hanging="1080"/>
      </w:pPr>
      <w:rPr>
        <w:rFonts w:hint="default"/>
      </w:rPr>
    </w:lvl>
    <w:lvl w:ilvl="5">
      <w:start w:val="1"/>
      <w:numFmt w:val="decimal"/>
      <w:lvlText w:val="%1.%2.%3.%4.%5.%6."/>
      <w:lvlJc w:val="left"/>
      <w:pPr>
        <w:ind w:left="5370" w:hanging="1440"/>
      </w:pPr>
      <w:rPr>
        <w:rFonts w:hint="default"/>
      </w:rPr>
    </w:lvl>
    <w:lvl w:ilvl="6">
      <w:start w:val="1"/>
      <w:numFmt w:val="decimal"/>
      <w:lvlText w:val="%1.%2.%3.%4.%5.%6.%7."/>
      <w:lvlJc w:val="left"/>
      <w:pPr>
        <w:ind w:left="6156" w:hanging="1440"/>
      </w:pPr>
      <w:rPr>
        <w:rFonts w:hint="default"/>
      </w:rPr>
    </w:lvl>
    <w:lvl w:ilvl="7">
      <w:start w:val="1"/>
      <w:numFmt w:val="decimal"/>
      <w:lvlText w:val="%1.%2.%3.%4.%5.%6.%7.%8."/>
      <w:lvlJc w:val="left"/>
      <w:pPr>
        <w:ind w:left="7302" w:hanging="1800"/>
      </w:pPr>
      <w:rPr>
        <w:rFonts w:hint="default"/>
      </w:rPr>
    </w:lvl>
    <w:lvl w:ilvl="8">
      <w:start w:val="1"/>
      <w:numFmt w:val="decimal"/>
      <w:lvlText w:val="%1.%2.%3.%4.%5.%6.%7.%8.%9."/>
      <w:lvlJc w:val="left"/>
      <w:pPr>
        <w:ind w:left="8088" w:hanging="1800"/>
      </w:pPr>
      <w:rPr>
        <w:rFonts w:hint="default"/>
      </w:rPr>
    </w:lvl>
  </w:abstractNum>
  <w:abstractNum w:abstractNumId="15" w15:restartNumberingAfterBreak="0">
    <w:nsid w:val="65D30CFE"/>
    <w:multiLevelType w:val="hybridMultilevel"/>
    <w:tmpl w:val="35882B12"/>
    <w:lvl w:ilvl="0" w:tplc="280A0019">
      <w:start w:val="1"/>
      <w:numFmt w:val="lowerLetter"/>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669E07F8"/>
    <w:multiLevelType w:val="hybridMultilevel"/>
    <w:tmpl w:val="EAFEA70A"/>
    <w:lvl w:ilvl="0" w:tplc="FFFFFFFF">
      <w:start w:val="1"/>
      <w:numFmt w:val="lowerLetter"/>
      <w:lvlText w:val="%1."/>
      <w:lvlJc w:val="left"/>
      <w:pPr>
        <w:ind w:left="1996" w:hanging="360"/>
      </w:pPr>
    </w:lvl>
    <w:lvl w:ilvl="1" w:tplc="280A0017">
      <w:start w:val="1"/>
      <w:numFmt w:val="lowerLetter"/>
      <w:lvlText w:val="%2)"/>
      <w:lvlJc w:val="left"/>
      <w:pPr>
        <w:ind w:left="2716" w:hanging="360"/>
      </w:pPr>
    </w:lvl>
    <w:lvl w:ilvl="2" w:tplc="FFFFFFFF" w:tentative="1">
      <w:start w:val="1"/>
      <w:numFmt w:val="lowerRoman"/>
      <w:lvlText w:val="%3."/>
      <w:lvlJc w:val="right"/>
      <w:pPr>
        <w:ind w:left="3436" w:hanging="180"/>
      </w:pPr>
    </w:lvl>
    <w:lvl w:ilvl="3" w:tplc="FFFFFFFF" w:tentative="1">
      <w:start w:val="1"/>
      <w:numFmt w:val="decimal"/>
      <w:lvlText w:val="%4."/>
      <w:lvlJc w:val="left"/>
      <w:pPr>
        <w:ind w:left="4156" w:hanging="360"/>
      </w:pPr>
    </w:lvl>
    <w:lvl w:ilvl="4" w:tplc="FFFFFFFF" w:tentative="1">
      <w:start w:val="1"/>
      <w:numFmt w:val="lowerLetter"/>
      <w:lvlText w:val="%5."/>
      <w:lvlJc w:val="left"/>
      <w:pPr>
        <w:ind w:left="4876" w:hanging="360"/>
      </w:pPr>
    </w:lvl>
    <w:lvl w:ilvl="5" w:tplc="FFFFFFFF" w:tentative="1">
      <w:start w:val="1"/>
      <w:numFmt w:val="lowerRoman"/>
      <w:lvlText w:val="%6."/>
      <w:lvlJc w:val="right"/>
      <w:pPr>
        <w:ind w:left="5596" w:hanging="180"/>
      </w:pPr>
    </w:lvl>
    <w:lvl w:ilvl="6" w:tplc="FFFFFFFF" w:tentative="1">
      <w:start w:val="1"/>
      <w:numFmt w:val="decimal"/>
      <w:lvlText w:val="%7."/>
      <w:lvlJc w:val="left"/>
      <w:pPr>
        <w:ind w:left="6316" w:hanging="360"/>
      </w:pPr>
    </w:lvl>
    <w:lvl w:ilvl="7" w:tplc="FFFFFFFF" w:tentative="1">
      <w:start w:val="1"/>
      <w:numFmt w:val="lowerLetter"/>
      <w:lvlText w:val="%8."/>
      <w:lvlJc w:val="left"/>
      <w:pPr>
        <w:ind w:left="7036" w:hanging="360"/>
      </w:pPr>
    </w:lvl>
    <w:lvl w:ilvl="8" w:tplc="FFFFFFFF" w:tentative="1">
      <w:start w:val="1"/>
      <w:numFmt w:val="lowerRoman"/>
      <w:lvlText w:val="%9."/>
      <w:lvlJc w:val="right"/>
      <w:pPr>
        <w:ind w:left="7756" w:hanging="180"/>
      </w:pPr>
    </w:lvl>
  </w:abstractNum>
  <w:abstractNum w:abstractNumId="17" w15:restartNumberingAfterBreak="0">
    <w:nsid w:val="6750294A"/>
    <w:multiLevelType w:val="hybridMultilevel"/>
    <w:tmpl w:val="76064DB4"/>
    <w:lvl w:ilvl="0" w:tplc="280A0001">
      <w:start w:val="1"/>
      <w:numFmt w:val="bullet"/>
      <w:lvlText w:val=""/>
      <w:lvlJc w:val="left"/>
      <w:pPr>
        <w:ind w:left="1276" w:hanging="360"/>
      </w:pPr>
      <w:rPr>
        <w:rFonts w:ascii="Symbol" w:hAnsi="Symbol" w:hint="default"/>
      </w:rPr>
    </w:lvl>
    <w:lvl w:ilvl="1" w:tplc="280A0003" w:tentative="1">
      <w:start w:val="1"/>
      <w:numFmt w:val="bullet"/>
      <w:lvlText w:val="o"/>
      <w:lvlJc w:val="left"/>
      <w:pPr>
        <w:ind w:left="1996" w:hanging="360"/>
      </w:pPr>
      <w:rPr>
        <w:rFonts w:ascii="Courier New" w:hAnsi="Courier New" w:cs="Courier New" w:hint="default"/>
      </w:rPr>
    </w:lvl>
    <w:lvl w:ilvl="2" w:tplc="280A0005" w:tentative="1">
      <w:start w:val="1"/>
      <w:numFmt w:val="bullet"/>
      <w:lvlText w:val=""/>
      <w:lvlJc w:val="left"/>
      <w:pPr>
        <w:ind w:left="2716" w:hanging="360"/>
      </w:pPr>
      <w:rPr>
        <w:rFonts w:ascii="Wingdings" w:hAnsi="Wingdings" w:hint="default"/>
      </w:rPr>
    </w:lvl>
    <w:lvl w:ilvl="3" w:tplc="280A0001" w:tentative="1">
      <w:start w:val="1"/>
      <w:numFmt w:val="bullet"/>
      <w:lvlText w:val=""/>
      <w:lvlJc w:val="left"/>
      <w:pPr>
        <w:ind w:left="3436" w:hanging="360"/>
      </w:pPr>
      <w:rPr>
        <w:rFonts w:ascii="Symbol" w:hAnsi="Symbol" w:hint="default"/>
      </w:rPr>
    </w:lvl>
    <w:lvl w:ilvl="4" w:tplc="280A0003" w:tentative="1">
      <w:start w:val="1"/>
      <w:numFmt w:val="bullet"/>
      <w:lvlText w:val="o"/>
      <w:lvlJc w:val="left"/>
      <w:pPr>
        <w:ind w:left="4156" w:hanging="360"/>
      </w:pPr>
      <w:rPr>
        <w:rFonts w:ascii="Courier New" w:hAnsi="Courier New" w:cs="Courier New" w:hint="default"/>
      </w:rPr>
    </w:lvl>
    <w:lvl w:ilvl="5" w:tplc="280A0005" w:tentative="1">
      <w:start w:val="1"/>
      <w:numFmt w:val="bullet"/>
      <w:lvlText w:val=""/>
      <w:lvlJc w:val="left"/>
      <w:pPr>
        <w:ind w:left="4876" w:hanging="360"/>
      </w:pPr>
      <w:rPr>
        <w:rFonts w:ascii="Wingdings" w:hAnsi="Wingdings" w:hint="default"/>
      </w:rPr>
    </w:lvl>
    <w:lvl w:ilvl="6" w:tplc="280A0001" w:tentative="1">
      <w:start w:val="1"/>
      <w:numFmt w:val="bullet"/>
      <w:lvlText w:val=""/>
      <w:lvlJc w:val="left"/>
      <w:pPr>
        <w:ind w:left="5596" w:hanging="360"/>
      </w:pPr>
      <w:rPr>
        <w:rFonts w:ascii="Symbol" w:hAnsi="Symbol" w:hint="default"/>
      </w:rPr>
    </w:lvl>
    <w:lvl w:ilvl="7" w:tplc="280A0003" w:tentative="1">
      <w:start w:val="1"/>
      <w:numFmt w:val="bullet"/>
      <w:lvlText w:val="o"/>
      <w:lvlJc w:val="left"/>
      <w:pPr>
        <w:ind w:left="6316" w:hanging="360"/>
      </w:pPr>
      <w:rPr>
        <w:rFonts w:ascii="Courier New" w:hAnsi="Courier New" w:cs="Courier New" w:hint="default"/>
      </w:rPr>
    </w:lvl>
    <w:lvl w:ilvl="8" w:tplc="280A0005" w:tentative="1">
      <w:start w:val="1"/>
      <w:numFmt w:val="bullet"/>
      <w:lvlText w:val=""/>
      <w:lvlJc w:val="left"/>
      <w:pPr>
        <w:ind w:left="7036" w:hanging="360"/>
      </w:pPr>
      <w:rPr>
        <w:rFonts w:ascii="Wingdings" w:hAnsi="Wingdings" w:hint="default"/>
      </w:rPr>
    </w:lvl>
  </w:abstractNum>
  <w:abstractNum w:abstractNumId="18" w15:restartNumberingAfterBreak="0">
    <w:nsid w:val="676E37BD"/>
    <w:multiLevelType w:val="hybridMultilevel"/>
    <w:tmpl w:val="EB940EB0"/>
    <w:lvl w:ilvl="0" w:tplc="2C58AD82">
      <w:numFmt w:val="bullet"/>
      <w:lvlText w:val="-"/>
      <w:lvlJc w:val="left"/>
      <w:pPr>
        <w:ind w:left="720" w:hanging="360"/>
      </w:pPr>
      <w:rPr>
        <w:rFonts w:ascii="Arial" w:eastAsia="Arial" w:hAnsi="Arial" w:cs="Arial" w:hint="default"/>
        <w:color w:val="000000"/>
      </w:rPr>
    </w:lvl>
    <w:lvl w:ilvl="1" w:tplc="E7184014">
      <w:start w:val="1"/>
      <w:numFmt w:val="lowerLetter"/>
      <w:lvlText w:val="%2)"/>
      <w:lvlJc w:val="left"/>
      <w:pPr>
        <w:ind w:left="1450" w:hanging="370"/>
      </w:pPr>
      <w:rPr>
        <w:rFonts w:eastAsia="Arial" w:hint="default"/>
        <w:color w:val="000000"/>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6CE155A7"/>
    <w:multiLevelType w:val="hybridMultilevel"/>
    <w:tmpl w:val="3C9A602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70D01E5A"/>
    <w:multiLevelType w:val="hybridMultilevel"/>
    <w:tmpl w:val="592ED5D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7106318E"/>
    <w:multiLevelType w:val="hybridMultilevel"/>
    <w:tmpl w:val="DC20646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726322FD"/>
    <w:multiLevelType w:val="hybridMultilevel"/>
    <w:tmpl w:val="876CAB38"/>
    <w:lvl w:ilvl="0" w:tplc="280A0019">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79FD4021"/>
    <w:multiLevelType w:val="hybridMultilevel"/>
    <w:tmpl w:val="96A842E0"/>
    <w:lvl w:ilvl="0" w:tplc="2C58AD82">
      <w:numFmt w:val="bullet"/>
      <w:lvlText w:val="-"/>
      <w:lvlJc w:val="left"/>
      <w:pPr>
        <w:ind w:left="720" w:hanging="360"/>
      </w:pPr>
      <w:rPr>
        <w:rFonts w:ascii="Arial" w:eastAsia="Arial" w:hAnsi="Arial" w:cs="Arial" w:hint="default"/>
        <w:color w:val="000000"/>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4" w15:restartNumberingAfterBreak="0">
    <w:nsid w:val="7BE25DC7"/>
    <w:multiLevelType w:val="hybridMultilevel"/>
    <w:tmpl w:val="AC48BD02"/>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5" w15:restartNumberingAfterBreak="0">
    <w:nsid w:val="7EE14D73"/>
    <w:multiLevelType w:val="multilevel"/>
    <w:tmpl w:val="FDC04314"/>
    <w:lvl w:ilvl="0">
      <w:start w:val="4"/>
      <w:numFmt w:val="decimal"/>
      <w:lvlText w:val="%1."/>
      <w:lvlJc w:val="left"/>
      <w:pPr>
        <w:ind w:left="360" w:hanging="360"/>
      </w:pPr>
      <w:rPr>
        <w:rFonts w:hint="default"/>
        <w:color w:val="000000"/>
      </w:rPr>
    </w:lvl>
    <w:lvl w:ilvl="1">
      <w:start w:val="1"/>
      <w:numFmt w:val="decimal"/>
      <w:lvlText w:val="%1.%2."/>
      <w:lvlJc w:val="left"/>
      <w:pPr>
        <w:ind w:left="1789" w:hanging="720"/>
      </w:pPr>
      <w:rPr>
        <w:rFonts w:hint="default"/>
        <w:color w:val="000000"/>
      </w:rPr>
    </w:lvl>
    <w:lvl w:ilvl="2">
      <w:start w:val="1"/>
      <w:numFmt w:val="decimal"/>
      <w:lvlText w:val="%1.%2.%3."/>
      <w:lvlJc w:val="left"/>
      <w:pPr>
        <w:ind w:left="2858" w:hanging="720"/>
      </w:pPr>
      <w:rPr>
        <w:rFonts w:hint="default"/>
        <w:color w:val="000000"/>
      </w:rPr>
    </w:lvl>
    <w:lvl w:ilvl="3">
      <w:start w:val="1"/>
      <w:numFmt w:val="decimal"/>
      <w:lvlText w:val="%1.%2.%3.%4."/>
      <w:lvlJc w:val="left"/>
      <w:pPr>
        <w:ind w:left="4287" w:hanging="1080"/>
      </w:pPr>
      <w:rPr>
        <w:rFonts w:hint="default"/>
        <w:color w:val="000000"/>
      </w:rPr>
    </w:lvl>
    <w:lvl w:ilvl="4">
      <w:start w:val="1"/>
      <w:numFmt w:val="decimal"/>
      <w:lvlText w:val="%1.%2.%3.%4.%5."/>
      <w:lvlJc w:val="left"/>
      <w:pPr>
        <w:ind w:left="5356" w:hanging="1080"/>
      </w:pPr>
      <w:rPr>
        <w:rFonts w:hint="default"/>
        <w:color w:val="000000"/>
      </w:rPr>
    </w:lvl>
    <w:lvl w:ilvl="5">
      <w:start w:val="1"/>
      <w:numFmt w:val="decimal"/>
      <w:lvlText w:val="%1.%2.%3.%4.%5.%6."/>
      <w:lvlJc w:val="left"/>
      <w:pPr>
        <w:ind w:left="6785" w:hanging="1440"/>
      </w:pPr>
      <w:rPr>
        <w:rFonts w:hint="default"/>
        <w:color w:val="000000"/>
      </w:rPr>
    </w:lvl>
    <w:lvl w:ilvl="6">
      <w:start w:val="1"/>
      <w:numFmt w:val="decimal"/>
      <w:lvlText w:val="%1.%2.%3.%4.%5.%6.%7."/>
      <w:lvlJc w:val="left"/>
      <w:pPr>
        <w:ind w:left="7854" w:hanging="1440"/>
      </w:pPr>
      <w:rPr>
        <w:rFonts w:hint="default"/>
        <w:color w:val="000000"/>
      </w:rPr>
    </w:lvl>
    <w:lvl w:ilvl="7">
      <w:start w:val="1"/>
      <w:numFmt w:val="decimal"/>
      <w:lvlText w:val="%1.%2.%3.%4.%5.%6.%7.%8."/>
      <w:lvlJc w:val="left"/>
      <w:pPr>
        <w:ind w:left="9283" w:hanging="1800"/>
      </w:pPr>
      <w:rPr>
        <w:rFonts w:hint="default"/>
        <w:color w:val="000000"/>
      </w:rPr>
    </w:lvl>
    <w:lvl w:ilvl="8">
      <w:start w:val="1"/>
      <w:numFmt w:val="decimal"/>
      <w:lvlText w:val="%1.%2.%3.%4.%5.%6.%7.%8.%9."/>
      <w:lvlJc w:val="left"/>
      <w:pPr>
        <w:ind w:left="10352" w:hanging="1800"/>
      </w:pPr>
      <w:rPr>
        <w:rFonts w:hint="default"/>
        <w:color w:val="000000"/>
      </w:rPr>
    </w:lvl>
  </w:abstractNum>
  <w:num w:numId="1" w16cid:durableId="1338196560">
    <w:abstractNumId w:val="14"/>
  </w:num>
  <w:num w:numId="2" w16cid:durableId="997340142">
    <w:abstractNumId w:val="2"/>
  </w:num>
  <w:num w:numId="3" w16cid:durableId="818888625">
    <w:abstractNumId w:val="10"/>
  </w:num>
  <w:num w:numId="4" w16cid:durableId="789980796">
    <w:abstractNumId w:val="11"/>
  </w:num>
  <w:num w:numId="5" w16cid:durableId="2135756204">
    <w:abstractNumId w:val="3"/>
  </w:num>
  <w:num w:numId="6" w16cid:durableId="1603613276">
    <w:abstractNumId w:val="5"/>
  </w:num>
  <w:num w:numId="7" w16cid:durableId="1698236715">
    <w:abstractNumId w:val="23"/>
  </w:num>
  <w:num w:numId="8" w16cid:durableId="1567180075">
    <w:abstractNumId w:val="25"/>
  </w:num>
  <w:num w:numId="9" w16cid:durableId="260988981">
    <w:abstractNumId w:val="18"/>
  </w:num>
  <w:num w:numId="10" w16cid:durableId="360321617">
    <w:abstractNumId w:val="12"/>
  </w:num>
  <w:num w:numId="11" w16cid:durableId="11301047">
    <w:abstractNumId w:val="17"/>
  </w:num>
  <w:num w:numId="12" w16cid:durableId="104814016">
    <w:abstractNumId w:val="20"/>
  </w:num>
  <w:num w:numId="13" w16cid:durableId="1885175596">
    <w:abstractNumId w:val="0"/>
  </w:num>
  <w:num w:numId="14" w16cid:durableId="167066823">
    <w:abstractNumId w:val="21"/>
  </w:num>
  <w:num w:numId="15" w16cid:durableId="954553902">
    <w:abstractNumId w:val="19"/>
  </w:num>
  <w:num w:numId="16" w16cid:durableId="1324506319">
    <w:abstractNumId w:val="8"/>
  </w:num>
  <w:num w:numId="17" w16cid:durableId="1839225738">
    <w:abstractNumId w:val="24"/>
  </w:num>
  <w:num w:numId="18" w16cid:durableId="267396013">
    <w:abstractNumId w:val="13"/>
  </w:num>
  <w:num w:numId="19" w16cid:durableId="1228301004">
    <w:abstractNumId w:val="15"/>
  </w:num>
  <w:num w:numId="20" w16cid:durableId="554125780">
    <w:abstractNumId w:val="6"/>
  </w:num>
  <w:num w:numId="21" w16cid:durableId="1964574287">
    <w:abstractNumId w:val="9"/>
  </w:num>
  <w:num w:numId="22" w16cid:durableId="1868059492">
    <w:abstractNumId w:val="16"/>
  </w:num>
  <w:num w:numId="23" w16cid:durableId="529534098">
    <w:abstractNumId w:val="1"/>
  </w:num>
  <w:num w:numId="24" w16cid:durableId="1828084485">
    <w:abstractNumId w:val="7"/>
  </w:num>
  <w:num w:numId="25" w16cid:durableId="1934242185">
    <w:abstractNumId w:val="4"/>
  </w:num>
  <w:num w:numId="26" w16cid:durableId="1799032513">
    <w:abstractNumId w:val="22"/>
  </w:num>
  <w:numIdMacAtCleanup w:val="2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ut Castro Mario Fernando">
    <w15:presenceInfo w15:providerId="AD" w15:userId="S::mkutc@sunat.gob.pe::7f4a71c1-9edb-4217-8bf6-fb9d10e7d94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8"/>
  <w:displayBackgroundShape/>
  <w:documentProtection w:edit="trackedChanges" w:enforcement="0"/>
  <w:defaultTabStop w:val="709"/>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7F34"/>
    <w:rsid w:val="00006CDE"/>
    <w:rsid w:val="00013D8E"/>
    <w:rsid w:val="000153F0"/>
    <w:rsid w:val="00025734"/>
    <w:rsid w:val="00026A41"/>
    <w:rsid w:val="000365E0"/>
    <w:rsid w:val="00047728"/>
    <w:rsid w:val="000B6CAE"/>
    <w:rsid w:val="000C43E2"/>
    <w:rsid w:val="000E4C2C"/>
    <w:rsid w:val="000E5B6B"/>
    <w:rsid w:val="000E7544"/>
    <w:rsid w:val="001164EE"/>
    <w:rsid w:val="00141E9A"/>
    <w:rsid w:val="001437F1"/>
    <w:rsid w:val="00153C2B"/>
    <w:rsid w:val="001609F8"/>
    <w:rsid w:val="00164552"/>
    <w:rsid w:val="0018147B"/>
    <w:rsid w:val="0018222F"/>
    <w:rsid w:val="001B791A"/>
    <w:rsid w:val="001C5C4D"/>
    <w:rsid w:val="001D0B85"/>
    <w:rsid w:val="001F16B0"/>
    <w:rsid w:val="002102ED"/>
    <w:rsid w:val="00215BA9"/>
    <w:rsid w:val="002222E3"/>
    <w:rsid w:val="00272134"/>
    <w:rsid w:val="002950F6"/>
    <w:rsid w:val="002A5658"/>
    <w:rsid w:val="002D4E18"/>
    <w:rsid w:val="003071B9"/>
    <w:rsid w:val="003204D8"/>
    <w:rsid w:val="00325777"/>
    <w:rsid w:val="00325F1C"/>
    <w:rsid w:val="00326739"/>
    <w:rsid w:val="003325F7"/>
    <w:rsid w:val="003327C9"/>
    <w:rsid w:val="0033689D"/>
    <w:rsid w:val="00344C8A"/>
    <w:rsid w:val="003530CE"/>
    <w:rsid w:val="003636BC"/>
    <w:rsid w:val="003665C6"/>
    <w:rsid w:val="003922D5"/>
    <w:rsid w:val="003A6AB9"/>
    <w:rsid w:val="003B242A"/>
    <w:rsid w:val="003B6E7C"/>
    <w:rsid w:val="003B7D61"/>
    <w:rsid w:val="003C1E3F"/>
    <w:rsid w:val="003E4730"/>
    <w:rsid w:val="003F591A"/>
    <w:rsid w:val="00444444"/>
    <w:rsid w:val="004503ED"/>
    <w:rsid w:val="00462A57"/>
    <w:rsid w:val="00463CDC"/>
    <w:rsid w:val="00467C46"/>
    <w:rsid w:val="0047575A"/>
    <w:rsid w:val="004A50A6"/>
    <w:rsid w:val="004A6881"/>
    <w:rsid w:val="004B3330"/>
    <w:rsid w:val="004C17C6"/>
    <w:rsid w:val="004C4F5D"/>
    <w:rsid w:val="004C7B15"/>
    <w:rsid w:val="004D01A4"/>
    <w:rsid w:val="004E204E"/>
    <w:rsid w:val="004F49BB"/>
    <w:rsid w:val="00502E18"/>
    <w:rsid w:val="0050738A"/>
    <w:rsid w:val="00512CEC"/>
    <w:rsid w:val="00521B40"/>
    <w:rsid w:val="00535686"/>
    <w:rsid w:val="00537E02"/>
    <w:rsid w:val="00567C78"/>
    <w:rsid w:val="00570612"/>
    <w:rsid w:val="00594919"/>
    <w:rsid w:val="005C3A70"/>
    <w:rsid w:val="005C4042"/>
    <w:rsid w:val="005C67EA"/>
    <w:rsid w:val="005D5880"/>
    <w:rsid w:val="005D754C"/>
    <w:rsid w:val="005F24C2"/>
    <w:rsid w:val="0060099A"/>
    <w:rsid w:val="00603B7D"/>
    <w:rsid w:val="0065257C"/>
    <w:rsid w:val="00662A54"/>
    <w:rsid w:val="006653DD"/>
    <w:rsid w:val="00665F3F"/>
    <w:rsid w:val="00677324"/>
    <w:rsid w:val="006806C8"/>
    <w:rsid w:val="00682244"/>
    <w:rsid w:val="00691FB4"/>
    <w:rsid w:val="00697B72"/>
    <w:rsid w:val="006B3AF5"/>
    <w:rsid w:val="006B4241"/>
    <w:rsid w:val="00714044"/>
    <w:rsid w:val="007324DC"/>
    <w:rsid w:val="0075082A"/>
    <w:rsid w:val="00771AB8"/>
    <w:rsid w:val="007808CA"/>
    <w:rsid w:val="007C4F40"/>
    <w:rsid w:val="007D181A"/>
    <w:rsid w:val="0080359D"/>
    <w:rsid w:val="00807C98"/>
    <w:rsid w:val="0081311B"/>
    <w:rsid w:val="00814A4B"/>
    <w:rsid w:val="008326EA"/>
    <w:rsid w:val="00833450"/>
    <w:rsid w:val="00833CDE"/>
    <w:rsid w:val="00836DA1"/>
    <w:rsid w:val="0084436F"/>
    <w:rsid w:val="008540A5"/>
    <w:rsid w:val="00863A18"/>
    <w:rsid w:val="0087077E"/>
    <w:rsid w:val="008A143D"/>
    <w:rsid w:val="008B010D"/>
    <w:rsid w:val="008B4A51"/>
    <w:rsid w:val="008D0FF0"/>
    <w:rsid w:val="008D42AD"/>
    <w:rsid w:val="008D444A"/>
    <w:rsid w:val="008E1026"/>
    <w:rsid w:val="008E72B6"/>
    <w:rsid w:val="008F1147"/>
    <w:rsid w:val="00911E71"/>
    <w:rsid w:val="00923C59"/>
    <w:rsid w:val="00926244"/>
    <w:rsid w:val="00931E16"/>
    <w:rsid w:val="009326E3"/>
    <w:rsid w:val="00937598"/>
    <w:rsid w:val="009576CD"/>
    <w:rsid w:val="00972640"/>
    <w:rsid w:val="00976029"/>
    <w:rsid w:val="00992360"/>
    <w:rsid w:val="00997013"/>
    <w:rsid w:val="009B2D6B"/>
    <w:rsid w:val="009C297E"/>
    <w:rsid w:val="009E0389"/>
    <w:rsid w:val="009E4983"/>
    <w:rsid w:val="009E7E49"/>
    <w:rsid w:val="009F2465"/>
    <w:rsid w:val="009F6B32"/>
    <w:rsid w:val="00A009CE"/>
    <w:rsid w:val="00A13B62"/>
    <w:rsid w:val="00A149DD"/>
    <w:rsid w:val="00A2302D"/>
    <w:rsid w:val="00A447B6"/>
    <w:rsid w:val="00A46D47"/>
    <w:rsid w:val="00A62D43"/>
    <w:rsid w:val="00A710F3"/>
    <w:rsid w:val="00A71D9E"/>
    <w:rsid w:val="00A80853"/>
    <w:rsid w:val="00A80AFB"/>
    <w:rsid w:val="00A82512"/>
    <w:rsid w:val="00A82BA1"/>
    <w:rsid w:val="00A82FE3"/>
    <w:rsid w:val="00A84B43"/>
    <w:rsid w:val="00A84EC0"/>
    <w:rsid w:val="00A964A4"/>
    <w:rsid w:val="00AA0ACB"/>
    <w:rsid w:val="00AA2DB4"/>
    <w:rsid w:val="00AB0407"/>
    <w:rsid w:val="00AD458B"/>
    <w:rsid w:val="00AD5F7D"/>
    <w:rsid w:val="00AE1F2D"/>
    <w:rsid w:val="00AE3DBA"/>
    <w:rsid w:val="00AE6854"/>
    <w:rsid w:val="00AF2BA4"/>
    <w:rsid w:val="00B23382"/>
    <w:rsid w:val="00B26B31"/>
    <w:rsid w:val="00B34A74"/>
    <w:rsid w:val="00B46315"/>
    <w:rsid w:val="00B474EF"/>
    <w:rsid w:val="00B629FD"/>
    <w:rsid w:val="00B63942"/>
    <w:rsid w:val="00B71027"/>
    <w:rsid w:val="00B72BA5"/>
    <w:rsid w:val="00B72DD0"/>
    <w:rsid w:val="00B852DB"/>
    <w:rsid w:val="00B87F34"/>
    <w:rsid w:val="00B9744D"/>
    <w:rsid w:val="00BA798A"/>
    <w:rsid w:val="00BB6113"/>
    <w:rsid w:val="00BC6E5C"/>
    <w:rsid w:val="00BF42FB"/>
    <w:rsid w:val="00BF6420"/>
    <w:rsid w:val="00C01186"/>
    <w:rsid w:val="00C0412A"/>
    <w:rsid w:val="00C051C7"/>
    <w:rsid w:val="00C102C9"/>
    <w:rsid w:val="00C14706"/>
    <w:rsid w:val="00C34A71"/>
    <w:rsid w:val="00C47FC1"/>
    <w:rsid w:val="00C5632E"/>
    <w:rsid w:val="00C5723D"/>
    <w:rsid w:val="00C66B57"/>
    <w:rsid w:val="00C733EA"/>
    <w:rsid w:val="00C736D9"/>
    <w:rsid w:val="00C77327"/>
    <w:rsid w:val="00C817F2"/>
    <w:rsid w:val="00C868D8"/>
    <w:rsid w:val="00C93D4C"/>
    <w:rsid w:val="00CB040E"/>
    <w:rsid w:val="00CD5098"/>
    <w:rsid w:val="00CD5536"/>
    <w:rsid w:val="00CE3C2A"/>
    <w:rsid w:val="00CE6C00"/>
    <w:rsid w:val="00CF1187"/>
    <w:rsid w:val="00CF4842"/>
    <w:rsid w:val="00D108CB"/>
    <w:rsid w:val="00D16977"/>
    <w:rsid w:val="00D35170"/>
    <w:rsid w:val="00D42CEC"/>
    <w:rsid w:val="00D44574"/>
    <w:rsid w:val="00D601EF"/>
    <w:rsid w:val="00D75749"/>
    <w:rsid w:val="00D83EE0"/>
    <w:rsid w:val="00DA3E65"/>
    <w:rsid w:val="00DA4B1B"/>
    <w:rsid w:val="00DC2B05"/>
    <w:rsid w:val="00DC7025"/>
    <w:rsid w:val="00DE269D"/>
    <w:rsid w:val="00DE41F6"/>
    <w:rsid w:val="00DF04A0"/>
    <w:rsid w:val="00E22438"/>
    <w:rsid w:val="00E22CB4"/>
    <w:rsid w:val="00E22E28"/>
    <w:rsid w:val="00E3106C"/>
    <w:rsid w:val="00E34945"/>
    <w:rsid w:val="00E67A73"/>
    <w:rsid w:val="00E75696"/>
    <w:rsid w:val="00E87621"/>
    <w:rsid w:val="00E9145B"/>
    <w:rsid w:val="00E950CF"/>
    <w:rsid w:val="00EB62D4"/>
    <w:rsid w:val="00ED2DC8"/>
    <w:rsid w:val="00ED3F92"/>
    <w:rsid w:val="00F0082B"/>
    <w:rsid w:val="00F0441E"/>
    <w:rsid w:val="00F2135B"/>
    <w:rsid w:val="00F2227C"/>
    <w:rsid w:val="00F378B6"/>
    <w:rsid w:val="00F45DDD"/>
    <w:rsid w:val="00F80506"/>
    <w:rsid w:val="00F9075F"/>
    <w:rsid w:val="00F91DE2"/>
    <w:rsid w:val="00F936FD"/>
    <w:rsid w:val="00FA09F7"/>
    <w:rsid w:val="00FB439A"/>
    <w:rsid w:val="00FE0856"/>
    <w:rsid w:val="00FF0B10"/>
    <w:rsid w:val="00FF1355"/>
    <w:rsid w:val="00FF3C7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F0DAF1"/>
  <w15:docId w15:val="{6208A0DF-6A25-4226-847E-F162E2EEB2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60099A"/>
  </w:style>
  <w:style w:type="paragraph" w:styleId="Ttulo1">
    <w:name w:val="heading 1"/>
    <w:aliases w:val="TituloDONI"/>
    <w:basedOn w:val="Normal"/>
    <w:next w:val="Normal"/>
    <w:link w:val="Ttulo1Car"/>
    <w:autoRedefine/>
    <w:uiPriority w:val="9"/>
    <w:qFormat/>
    <w:rsid w:val="005D754C"/>
    <w:pPr>
      <w:keepNext/>
      <w:keepLines/>
      <w:numPr>
        <w:numId w:val="2"/>
      </w:numPr>
      <w:spacing w:before="240" w:after="240" w:line="240" w:lineRule="auto"/>
      <w:ind w:left="709"/>
      <w:outlineLvl w:val="0"/>
    </w:pPr>
    <w:rPr>
      <w:rFonts w:ascii="Arial" w:eastAsia="Arial" w:hAnsi="Arial" w:cstheme="majorBidi"/>
      <w:b/>
      <w:szCs w:val="36"/>
    </w:rPr>
  </w:style>
  <w:style w:type="paragraph" w:styleId="Ttulo2">
    <w:name w:val="heading 2"/>
    <w:basedOn w:val="Normal"/>
    <w:next w:val="Normal"/>
    <w:link w:val="Ttulo2Car"/>
    <w:uiPriority w:val="9"/>
    <w:semiHidden/>
    <w:unhideWhenUsed/>
    <w:rsid w:val="0060099A"/>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60099A"/>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60099A"/>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Ttulo5">
    <w:name w:val="heading 5"/>
    <w:basedOn w:val="Normal"/>
    <w:next w:val="Normal"/>
    <w:link w:val="Ttulo5Car"/>
    <w:uiPriority w:val="9"/>
    <w:semiHidden/>
    <w:unhideWhenUsed/>
    <w:qFormat/>
    <w:rsid w:val="0060099A"/>
    <w:pPr>
      <w:keepNext/>
      <w:keepLines/>
      <w:spacing w:before="40" w:after="0"/>
      <w:outlineLvl w:val="4"/>
    </w:pPr>
    <w:rPr>
      <w:rFonts w:asciiTheme="majorHAnsi" w:eastAsiaTheme="majorEastAsia" w:hAnsiTheme="majorHAnsi" w:cstheme="majorBidi"/>
      <w:caps/>
      <w:color w:val="2F5496" w:themeColor="accent1" w:themeShade="BF"/>
    </w:rPr>
  </w:style>
  <w:style w:type="paragraph" w:styleId="Ttulo6">
    <w:name w:val="heading 6"/>
    <w:basedOn w:val="Normal"/>
    <w:next w:val="Normal"/>
    <w:link w:val="Ttulo6Car"/>
    <w:uiPriority w:val="9"/>
    <w:semiHidden/>
    <w:unhideWhenUsed/>
    <w:qFormat/>
    <w:rsid w:val="0060099A"/>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Ttulo7">
    <w:name w:val="heading 7"/>
    <w:basedOn w:val="Normal"/>
    <w:next w:val="Normal"/>
    <w:link w:val="Ttulo7Car"/>
    <w:uiPriority w:val="9"/>
    <w:semiHidden/>
    <w:unhideWhenUsed/>
    <w:qFormat/>
    <w:rsid w:val="0060099A"/>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Ttulo8">
    <w:name w:val="heading 8"/>
    <w:basedOn w:val="Normal"/>
    <w:next w:val="Normal"/>
    <w:link w:val="Ttulo8Car"/>
    <w:uiPriority w:val="9"/>
    <w:semiHidden/>
    <w:unhideWhenUsed/>
    <w:qFormat/>
    <w:rsid w:val="0060099A"/>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Ttulo9">
    <w:name w:val="heading 9"/>
    <w:basedOn w:val="Normal"/>
    <w:next w:val="Normal"/>
    <w:link w:val="Ttulo9Car"/>
    <w:uiPriority w:val="9"/>
    <w:semiHidden/>
    <w:unhideWhenUsed/>
    <w:qFormat/>
    <w:rsid w:val="0060099A"/>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rsid w:val="0060099A"/>
    <w:pPr>
      <w:spacing w:after="0" w:line="204" w:lineRule="auto"/>
      <w:contextualSpacing/>
    </w:pPr>
    <w:rPr>
      <w:rFonts w:asciiTheme="majorHAnsi" w:eastAsiaTheme="majorEastAsia" w:hAnsiTheme="majorHAnsi" w:cstheme="majorBidi"/>
      <w:caps/>
      <w:color w:val="44546A" w:themeColor="text2"/>
      <w:spacing w:val="-15"/>
      <w:sz w:val="72"/>
      <w:szCs w:val="72"/>
    </w:rPr>
  </w:style>
  <w:style w:type="paragraph" w:customStyle="1" w:styleId="Textoennegrita1">
    <w:name w:val="Texto en negrita1"/>
    <w:rPr>
      <w:b/>
      <w:bCs/>
    </w:rPr>
  </w:style>
  <w:style w:type="paragraph" w:styleId="Prrafodelista">
    <w:name w:val="List Paragraph"/>
    <w:aliases w:val="Colsubsidio - Lista,3,Iz - Párrafo de lista,Sivsa Parrafo,Titulo de Fígura,TITULO A,Titulo parrafo,Punto,Num Bullet 1,Bullet Number,List Paragraph1,lp1,lp11,List Paragraph11,Use Case List Paragraph,Bullet List,FooterText,numbered,列出段落"/>
    <w:link w:val="PrrafodelistaCar"/>
    <w:uiPriority w:val="34"/>
    <w:qFormat/>
    <w:rsid w:val="00325777"/>
    <w:pPr>
      <w:spacing w:before="240"/>
      <w:ind w:left="720" w:hanging="720"/>
      <w:contextualSpacing/>
      <w:jc w:val="both"/>
    </w:pPr>
    <w:rPr>
      <w:rFonts w:ascii="Arial" w:eastAsia="Arial" w:hAnsi="Arial" w:cs="Arial"/>
      <w:b/>
      <w:bCs/>
    </w:r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paragraph" w:customStyle="1" w:styleId="Versin">
    <w:name w:val="Versión"/>
    <w:basedOn w:val="Sangra2detindependiente"/>
    <w:link w:val="VersinCar"/>
    <w:rsid w:val="0060099A"/>
    <w:pPr>
      <w:spacing w:after="0" w:line="240" w:lineRule="auto"/>
      <w:ind w:left="0"/>
      <w:jc w:val="both"/>
    </w:pPr>
    <w:rPr>
      <w:b/>
      <w:bCs/>
      <w:sz w:val="56"/>
      <w:szCs w:val="56"/>
      <w:lang w:eastAsia="en-US"/>
    </w:rPr>
  </w:style>
  <w:style w:type="character" w:customStyle="1" w:styleId="VersinCar">
    <w:name w:val="Versión Car"/>
    <w:basedOn w:val="Sangra2detindependienteCar"/>
    <w:link w:val="Versin"/>
    <w:rsid w:val="0060099A"/>
    <w:rPr>
      <w:rFonts w:eastAsiaTheme="minorEastAsia"/>
      <w:b/>
      <w:bCs/>
      <w:sz w:val="56"/>
      <w:szCs w:val="56"/>
      <w:lang w:eastAsia="en-US"/>
    </w:rPr>
  </w:style>
  <w:style w:type="paragraph" w:styleId="Sangra2detindependiente">
    <w:name w:val="Body Text Indent 2"/>
    <w:basedOn w:val="Normal"/>
    <w:link w:val="Sangra2detindependienteCar"/>
    <w:uiPriority w:val="99"/>
    <w:unhideWhenUsed/>
    <w:rsid w:val="0060099A"/>
    <w:pPr>
      <w:spacing w:after="120" w:line="480" w:lineRule="auto"/>
      <w:ind w:left="283"/>
    </w:pPr>
  </w:style>
  <w:style w:type="character" w:customStyle="1" w:styleId="Sangra2detindependienteCar">
    <w:name w:val="Sangría 2 de t. independiente Car"/>
    <w:basedOn w:val="Fuentedeprrafopredeter"/>
    <w:link w:val="Sangra2detindependiente"/>
    <w:uiPriority w:val="99"/>
    <w:rsid w:val="0060099A"/>
  </w:style>
  <w:style w:type="paragraph" w:styleId="Encabezado">
    <w:name w:val="header"/>
    <w:basedOn w:val="Normal"/>
    <w:link w:val="EncabezadoCar"/>
    <w:uiPriority w:val="99"/>
    <w:unhideWhenUsed/>
    <w:rsid w:val="0060099A"/>
    <w:pPr>
      <w:tabs>
        <w:tab w:val="center" w:pos="4252"/>
        <w:tab w:val="right" w:pos="8504"/>
      </w:tabs>
    </w:pPr>
  </w:style>
  <w:style w:type="character" w:customStyle="1" w:styleId="EncabezadoCar">
    <w:name w:val="Encabezado Car"/>
    <w:basedOn w:val="Fuentedeprrafopredeter"/>
    <w:link w:val="Encabezado"/>
    <w:uiPriority w:val="99"/>
    <w:rsid w:val="0060099A"/>
  </w:style>
  <w:style w:type="paragraph" w:styleId="Piedepgina">
    <w:name w:val="footer"/>
    <w:basedOn w:val="Normal"/>
    <w:link w:val="PiedepginaCar"/>
    <w:uiPriority w:val="99"/>
    <w:unhideWhenUsed/>
    <w:rsid w:val="0060099A"/>
    <w:pPr>
      <w:tabs>
        <w:tab w:val="center" w:pos="4252"/>
        <w:tab w:val="right" w:pos="8504"/>
      </w:tabs>
    </w:pPr>
  </w:style>
  <w:style w:type="character" w:customStyle="1" w:styleId="PiedepginaCar">
    <w:name w:val="Pie de página Car"/>
    <w:basedOn w:val="Fuentedeprrafopredeter"/>
    <w:link w:val="Piedepgina"/>
    <w:uiPriority w:val="99"/>
    <w:rsid w:val="0060099A"/>
  </w:style>
  <w:style w:type="paragraph" w:styleId="TDC1">
    <w:name w:val="toc 1"/>
    <w:basedOn w:val="Normal"/>
    <w:next w:val="Normal"/>
    <w:autoRedefine/>
    <w:uiPriority w:val="39"/>
    <w:rsid w:val="00833450"/>
    <w:pPr>
      <w:tabs>
        <w:tab w:val="left" w:pos="425"/>
        <w:tab w:val="right" w:leader="dot" w:pos="8778"/>
      </w:tabs>
      <w:spacing w:after="0" w:line="240" w:lineRule="auto"/>
      <w:ind w:left="425" w:hanging="425"/>
    </w:pPr>
    <w:rPr>
      <w:b/>
      <w:noProof/>
      <w:szCs w:val="28"/>
      <w:lang w:eastAsia="en-US"/>
    </w:rPr>
  </w:style>
  <w:style w:type="character" w:customStyle="1" w:styleId="Ttulo1Car">
    <w:name w:val="Título 1 Car"/>
    <w:aliases w:val="TituloDONI Car"/>
    <w:basedOn w:val="Fuentedeprrafopredeter"/>
    <w:link w:val="Ttulo1"/>
    <w:uiPriority w:val="9"/>
    <w:rsid w:val="005D754C"/>
    <w:rPr>
      <w:rFonts w:ascii="Arial" w:eastAsia="Arial" w:hAnsi="Arial" w:cstheme="majorBidi"/>
      <w:b/>
      <w:szCs w:val="36"/>
    </w:rPr>
  </w:style>
  <w:style w:type="character" w:customStyle="1" w:styleId="Ttulo2Car">
    <w:name w:val="Título 2 Car"/>
    <w:basedOn w:val="Fuentedeprrafopredeter"/>
    <w:link w:val="Ttulo2"/>
    <w:uiPriority w:val="9"/>
    <w:semiHidden/>
    <w:rsid w:val="0060099A"/>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60099A"/>
    <w:rPr>
      <w:rFonts w:asciiTheme="majorHAnsi" w:eastAsiaTheme="majorEastAsia" w:hAnsiTheme="majorHAnsi" w:cstheme="majorBidi"/>
      <w:color w:val="2F5496" w:themeColor="accent1" w:themeShade="BF"/>
      <w:sz w:val="28"/>
      <w:szCs w:val="28"/>
    </w:rPr>
  </w:style>
  <w:style w:type="character" w:customStyle="1" w:styleId="Ttulo4Car">
    <w:name w:val="Título 4 Car"/>
    <w:basedOn w:val="Fuentedeprrafopredeter"/>
    <w:link w:val="Ttulo4"/>
    <w:uiPriority w:val="9"/>
    <w:semiHidden/>
    <w:rsid w:val="0060099A"/>
    <w:rPr>
      <w:rFonts w:asciiTheme="majorHAnsi" w:eastAsiaTheme="majorEastAsia" w:hAnsiTheme="majorHAnsi" w:cstheme="majorBidi"/>
      <w:color w:val="2F5496" w:themeColor="accent1" w:themeShade="BF"/>
      <w:sz w:val="24"/>
      <w:szCs w:val="24"/>
    </w:rPr>
  </w:style>
  <w:style w:type="character" w:customStyle="1" w:styleId="Ttulo5Car">
    <w:name w:val="Título 5 Car"/>
    <w:basedOn w:val="Fuentedeprrafopredeter"/>
    <w:link w:val="Ttulo5"/>
    <w:uiPriority w:val="9"/>
    <w:semiHidden/>
    <w:rsid w:val="0060099A"/>
    <w:rPr>
      <w:rFonts w:asciiTheme="majorHAnsi" w:eastAsiaTheme="majorEastAsia" w:hAnsiTheme="majorHAnsi" w:cstheme="majorBidi"/>
      <w:caps/>
      <w:color w:val="2F5496" w:themeColor="accent1" w:themeShade="BF"/>
    </w:rPr>
  </w:style>
  <w:style w:type="character" w:customStyle="1" w:styleId="Ttulo6Car">
    <w:name w:val="Título 6 Car"/>
    <w:basedOn w:val="Fuentedeprrafopredeter"/>
    <w:link w:val="Ttulo6"/>
    <w:uiPriority w:val="9"/>
    <w:semiHidden/>
    <w:rsid w:val="0060099A"/>
    <w:rPr>
      <w:rFonts w:asciiTheme="majorHAnsi" w:eastAsiaTheme="majorEastAsia" w:hAnsiTheme="majorHAnsi" w:cstheme="majorBidi"/>
      <w:i/>
      <w:iCs/>
      <w:caps/>
      <w:color w:val="1F3864" w:themeColor="accent1" w:themeShade="80"/>
    </w:rPr>
  </w:style>
  <w:style w:type="character" w:customStyle="1" w:styleId="Ttulo7Car">
    <w:name w:val="Título 7 Car"/>
    <w:basedOn w:val="Fuentedeprrafopredeter"/>
    <w:link w:val="Ttulo7"/>
    <w:uiPriority w:val="9"/>
    <w:semiHidden/>
    <w:rsid w:val="0060099A"/>
    <w:rPr>
      <w:rFonts w:asciiTheme="majorHAnsi" w:eastAsiaTheme="majorEastAsia" w:hAnsiTheme="majorHAnsi" w:cstheme="majorBidi"/>
      <w:b/>
      <w:bCs/>
      <w:color w:val="1F3864" w:themeColor="accent1" w:themeShade="80"/>
    </w:rPr>
  </w:style>
  <w:style w:type="character" w:customStyle="1" w:styleId="Ttulo8Car">
    <w:name w:val="Título 8 Car"/>
    <w:basedOn w:val="Fuentedeprrafopredeter"/>
    <w:link w:val="Ttulo8"/>
    <w:uiPriority w:val="9"/>
    <w:semiHidden/>
    <w:rsid w:val="0060099A"/>
    <w:rPr>
      <w:rFonts w:asciiTheme="majorHAnsi" w:eastAsiaTheme="majorEastAsia" w:hAnsiTheme="majorHAnsi" w:cstheme="majorBidi"/>
      <w:b/>
      <w:bCs/>
      <w:i/>
      <w:iCs/>
      <w:color w:val="1F3864" w:themeColor="accent1" w:themeShade="80"/>
    </w:rPr>
  </w:style>
  <w:style w:type="character" w:customStyle="1" w:styleId="Ttulo9Car">
    <w:name w:val="Título 9 Car"/>
    <w:basedOn w:val="Fuentedeprrafopredeter"/>
    <w:link w:val="Ttulo9"/>
    <w:uiPriority w:val="9"/>
    <w:semiHidden/>
    <w:rsid w:val="0060099A"/>
    <w:rPr>
      <w:rFonts w:asciiTheme="majorHAnsi" w:eastAsiaTheme="majorEastAsia" w:hAnsiTheme="majorHAnsi" w:cstheme="majorBidi"/>
      <w:i/>
      <w:iCs/>
      <w:color w:val="1F3864" w:themeColor="accent1" w:themeShade="80"/>
    </w:rPr>
  </w:style>
  <w:style w:type="paragraph" w:styleId="Descripcin">
    <w:name w:val="caption"/>
    <w:basedOn w:val="Normal"/>
    <w:next w:val="Normal"/>
    <w:uiPriority w:val="35"/>
    <w:semiHidden/>
    <w:unhideWhenUsed/>
    <w:qFormat/>
    <w:rsid w:val="0060099A"/>
    <w:pPr>
      <w:spacing w:line="240" w:lineRule="auto"/>
    </w:pPr>
    <w:rPr>
      <w:b/>
      <w:bCs/>
      <w:smallCaps/>
      <w:color w:val="44546A" w:themeColor="text2"/>
    </w:rPr>
  </w:style>
  <w:style w:type="character" w:customStyle="1" w:styleId="TtuloCar">
    <w:name w:val="Título Car"/>
    <w:basedOn w:val="Fuentedeprrafopredeter"/>
    <w:link w:val="Ttulo"/>
    <w:uiPriority w:val="10"/>
    <w:rsid w:val="0060099A"/>
    <w:rPr>
      <w:rFonts w:asciiTheme="majorHAnsi" w:eastAsiaTheme="majorEastAsia" w:hAnsiTheme="majorHAnsi" w:cstheme="majorBidi"/>
      <w:caps/>
      <w:color w:val="44546A" w:themeColor="text2"/>
      <w:spacing w:val="-15"/>
      <w:sz w:val="72"/>
      <w:szCs w:val="72"/>
    </w:rPr>
  </w:style>
  <w:style w:type="paragraph" w:styleId="Subttulo">
    <w:name w:val="Subtitle"/>
    <w:basedOn w:val="Normal"/>
    <w:next w:val="Normal"/>
    <w:link w:val="SubttuloCar"/>
    <w:uiPriority w:val="11"/>
    <w:rsid w:val="0060099A"/>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tuloCar">
    <w:name w:val="Subtítulo Car"/>
    <w:basedOn w:val="Fuentedeprrafopredeter"/>
    <w:link w:val="Subttulo"/>
    <w:uiPriority w:val="11"/>
    <w:rsid w:val="0060099A"/>
    <w:rPr>
      <w:rFonts w:asciiTheme="majorHAnsi" w:eastAsiaTheme="majorEastAsia" w:hAnsiTheme="majorHAnsi" w:cstheme="majorBidi"/>
      <w:color w:val="4472C4" w:themeColor="accent1"/>
      <w:sz w:val="28"/>
      <w:szCs w:val="28"/>
    </w:rPr>
  </w:style>
  <w:style w:type="character" w:styleId="Textoennegrita">
    <w:name w:val="Strong"/>
    <w:basedOn w:val="Fuentedeprrafopredeter"/>
    <w:uiPriority w:val="22"/>
    <w:rsid w:val="0060099A"/>
    <w:rPr>
      <w:b/>
      <w:bCs/>
    </w:rPr>
  </w:style>
  <w:style w:type="character" w:styleId="nfasis">
    <w:name w:val="Emphasis"/>
    <w:basedOn w:val="Fuentedeprrafopredeter"/>
    <w:uiPriority w:val="20"/>
    <w:rsid w:val="0060099A"/>
    <w:rPr>
      <w:i/>
      <w:iCs/>
    </w:rPr>
  </w:style>
  <w:style w:type="paragraph" w:styleId="Sinespaciado">
    <w:name w:val="No Spacing"/>
    <w:uiPriority w:val="1"/>
    <w:rsid w:val="0060099A"/>
    <w:pPr>
      <w:spacing w:after="0" w:line="240" w:lineRule="auto"/>
    </w:pPr>
  </w:style>
  <w:style w:type="paragraph" w:styleId="Cita">
    <w:name w:val="Quote"/>
    <w:basedOn w:val="Normal"/>
    <w:next w:val="Normal"/>
    <w:link w:val="CitaCar"/>
    <w:uiPriority w:val="29"/>
    <w:rsid w:val="0060099A"/>
    <w:pPr>
      <w:spacing w:before="120" w:after="120"/>
      <w:ind w:left="720"/>
    </w:pPr>
    <w:rPr>
      <w:color w:val="44546A" w:themeColor="text2"/>
      <w:sz w:val="24"/>
      <w:szCs w:val="24"/>
    </w:rPr>
  </w:style>
  <w:style w:type="character" w:customStyle="1" w:styleId="CitaCar">
    <w:name w:val="Cita Car"/>
    <w:basedOn w:val="Fuentedeprrafopredeter"/>
    <w:link w:val="Cita"/>
    <w:uiPriority w:val="29"/>
    <w:rsid w:val="0060099A"/>
    <w:rPr>
      <w:color w:val="44546A" w:themeColor="text2"/>
      <w:sz w:val="24"/>
      <w:szCs w:val="24"/>
    </w:rPr>
  </w:style>
  <w:style w:type="paragraph" w:styleId="Citadestacada">
    <w:name w:val="Intense Quote"/>
    <w:basedOn w:val="Normal"/>
    <w:next w:val="Normal"/>
    <w:link w:val="CitadestacadaCar"/>
    <w:uiPriority w:val="30"/>
    <w:rsid w:val="0060099A"/>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CitadestacadaCar">
    <w:name w:val="Cita destacada Car"/>
    <w:basedOn w:val="Fuentedeprrafopredeter"/>
    <w:link w:val="Citadestacada"/>
    <w:uiPriority w:val="30"/>
    <w:rsid w:val="0060099A"/>
    <w:rPr>
      <w:rFonts w:asciiTheme="majorHAnsi" w:eastAsiaTheme="majorEastAsia" w:hAnsiTheme="majorHAnsi" w:cstheme="majorBidi"/>
      <w:color w:val="44546A" w:themeColor="text2"/>
      <w:spacing w:val="-6"/>
      <w:sz w:val="32"/>
      <w:szCs w:val="32"/>
    </w:rPr>
  </w:style>
  <w:style w:type="character" w:styleId="nfasissutil">
    <w:name w:val="Subtle Emphasis"/>
    <w:basedOn w:val="Fuentedeprrafopredeter"/>
    <w:uiPriority w:val="19"/>
    <w:rsid w:val="0060099A"/>
    <w:rPr>
      <w:i/>
      <w:iCs/>
      <w:color w:val="595959" w:themeColor="text1" w:themeTint="A6"/>
    </w:rPr>
  </w:style>
  <w:style w:type="character" w:styleId="nfasisintenso">
    <w:name w:val="Intense Emphasis"/>
    <w:basedOn w:val="Fuentedeprrafopredeter"/>
    <w:uiPriority w:val="21"/>
    <w:rsid w:val="0060099A"/>
    <w:rPr>
      <w:b/>
      <w:bCs/>
      <w:i/>
      <w:iCs/>
    </w:rPr>
  </w:style>
  <w:style w:type="character" w:styleId="Referenciasutil">
    <w:name w:val="Subtle Reference"/>
    <w:basedOn w:val="Fuentedeprrafopredeter"/>
    <w:uiPriority w:val="31"/>
    <w:rsid w:val="0060099A"/>
    <w:rPr>
      <w:smallCaps/>
      <w:color w:val="595959" w:themeColor="text1" w:themeTint="A6"/>
      <w:u w:val="none" w:color="7F7F7F" w:themeColor="text1" w:themeTint="80"/>
      <w:bdr w:val="none" w:sz="0" w:space="0" w:color="auto"/>
    </w:rPr>
  </w:style>
  <w:style w:type="character" w:styleId="Referenciaintensa">
    <w:name w:val="Intense Reference"/>
    <w:basedOn w:val="Fuentedeprrafopredeter"/>
    <w:uiPriority w:val="32"/>
    <w:rsid w:val="0060099A"/>
    <w:rPr>
      <w:b/>
      <w:bCs/>
      <w:smallCaps/>
      <w:color w:val="44546A" w:themeColor="text2"/>
      <w:u w:val="single"/>
    </w:rPr>
  </w:style>
  <w:style w:type="character" w:styleId="Ttulodellibro">
    <w:name w:val="Book Title"/>
    <w:basedOn w:val="Fuentedeprrafopredeter"/>
    <w:uiPriority w:val="33"/>
    <w:rsid w:val="0060099A"/>
    <w:rPr>
      <w:b/>
      <w:bCs/>
      <w:smallCaps/>
      <w:spacing w:val="10"/>
    </w:rPr>
  </w:style>
  <w:style w:type="paragraph" w:styleId="TtuloTDC">
    <w:name w:val="TOC Heading"/>
    <w:basedOn w:val="Ttulo1"/>
    <w:next w:val="Normal"/>
    <w:uiPriority w:val="39"/>
    <w:semiHidden/>
    <w:unhideWhenUsed/>
    <w:qFormat/>
    <w:rsid w:val="0060099A"/>
    <w:pPr>
      <w:outlineLvl w:val="9"/>
    </w:pPr>
  </w:style>
  <w:style w:type="character" w:customStyle="1" w:styleId="PrrafodelistaCar">
    <w:name w:val="Párrafo de lista Car"/>
    <w:aliases w:val="Colsubsidio - Lista Car,3 Car,Iz - Párrafo de lista Car,Sivsa Parrafo Car,Titulo de Fígura Car,TITULO A Car,Titulo parrafo Car,Punto Car,Num Bullet 1 Car,Bullet Number Car,List Paragraph1 Car,lp1 Car,lp11 Car,List Paragraph11 Car"/>
    <w:link w:val="Prrafodelista"/>
    <w:uiPriority w:val="34"/>
    <w:qFormat/>
    <w:rsid w:val="00325777"/>
    <w:rPr>
      <w:rFonts w:ascii="Arial" w:eastAsia="Arial" w:hAnsi="Arial" w:cs="Arial"/>
      <w:b/>
      <w:bCs/>
    </w:rPr>
  </w:style>
  <w:style w:type="paragraph" w:customStyle="1" w:styleId="BaseNormativaDONI">
    <w:name w:val="BaseNormativaDONI"/>
    <w:basedOn w:val="Prrafodelista"/>
    <w:link w:val="BaseNormativaDONICar"/>
    <w:rsid w:val="003F591A"/>
    <w:pPr>
      <w:ind w:left="0" w:firstLine="0"/>
    </w:pPr>
    <w:rPr>
      <w:b w:val="0"/>
      <w:bCs w:val="0"/>
    </w:rPr>
  </w:style>
  <w:style w:type="paragraph" w:customStyle="1" w:styleId="GlosarioDONI">
    <w:name w:val="GlosarioDONI"/>
    <w:basedOn w:val="BaseNormativaDONI"/>
    <w:link w:val="GlosarioDONICar"/>
    <w:qFormat/>
    <w:rsid w:val="00EB62D4"/>
  </w:style>
  <w:style w:type="character" w:customStyle="1" w:styleId="BaseNormativaDONICar">
    <w:name w:val="BaseNormativaDONI Car"/>
    <w:basedOn w:val="PrrafodelistaCar"/>
    <w:link w:val="BaseNormativaDONI"/>
    <w:rsid w:val="00006CDE"/>
    <w:rPr>
      <w:rFonts w:ascii="Arial" w:eastAsia="Arial" w:hAnsi="Arial" w:cs="Arial"/>
      <w:b w:val="0"/>
      <w:bCs w:val="0"/>
    </w:rPr>
  </w:style>
  <w:style w:type="paragraph" w:customStyle="1" w:styleId="SubtituloDONI">
    <w:name w:val="SubtituloDONI"/>
    <w:basedOn w:val="Prrafodelista"/>
    <w:link w:val="SubtituloDONICar"/>
    <w:qFormat/>
    <w:rsid w:val="00EB62D4"/>
  </w:style>
  <w:style w:type="character" w:customStyle="1" w:styleId="GlosarioDONICar">
    <w:name w:val="GlosarioDONI Car"/>
    <w:basedOn w:val="BaseNormativaDONICar"/>
    <w:link w:val="GlosarioDONI"/>
    <w:rsid w:val="00EB62D4"/>
    <w:rPr>
      <w:rFonts w:ascii="Arial" w:eastAsia="Arial" w:hAnsi="Arial" w:cs="Arial"/>
      <w:b w:val="0"/>
      <w:bCs w:val="0"/>
    </w:rPr>
  </w:style>
  <w:style w:type="paragraph" w:customStyle="1" w:styleId="IndiceDONI">
    <w:name w:val="IndiceDONI"/>
    <w:basedOn w:val="SubtituloDONI"/>
    <w:next w:val="Normal"/>
    <w:link w:val="IndiceDONICar"/>
    <w:rsid w:val="00006CDE"/>
    <w:pPr>
      <w:spacing w:after="240" w:line="240" w:lineRule="auto"/>
      <w:ind w:left="0" w:firstLine="0"/>
    </w:pPr>
    <w:rPr>
      <w:b w:val="0"/>
      <w:bCs w:val="0"/>
      <w:color w:val="000000"/>
    </w:rPr>
  </w:style>
  <w:style w:type="character" w:customStyle="1" w:styleId="SubtituloDONICar">
    <w:name w:val="SubtituloDONI Car"/>
    <w:basedOn w:val="PrrafodelistaCar"/>
    <w:link w:val="SubtituloDONI"/>
    <w:rsid w:val="00EB62D4"/>
    <w:rPr>
      <w:rFonts w:ascii="Arial" w:eastAsia="Arial" w:hAnsi="Arial" w:cs="Arial"/>
      <w:b/>
      <w:bCs/>
    </w:rPr>
  </w:style>
  <w:style w:type="table" w:styleId="Tablanormal2">
    <w:name w:val="Plain Table 2"/>
    <w:basedOn w:val="Tablanormal"/>
    <w:uiPriority w:val="42"/>
    <w:rsid w:val="003B6E7C"/>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IndiceDONICar">
    <w:name w:val="IndiceDONI Car"/>
    <w:basedOn w:val="PrrafodelistaCar"/>
    <w:link w:val="IndiceDONI"/>
    <w:rsid w:val="00006CDE"/>
    <w:rPr>
      <w:rFonts w:ascii="Arial" w:eastAsia="Arial" w:hAnsi="Arial" w:cs="Arial"/>
      <w:b w:val="0"/>
      <w:bCs w:val="0"/>
      <w:color w:val="000000"/>
    </w:rPr>
  </w:style>
  <w:style w:type="paragraph" w:customStyle="1" w:styleId="BaseNormativa">
    <w:name w:val="BaseNormativa"/>
    <w:basedOn w:val="Prrafodelista"/>
    <w:link w:val="BaseNormativaCar"/>
    <w:qFormat/>
    <w:rsid w:val="003F591A"/>
    <w:pPr>
      <w:numPr>
        <w:ilvl w:val="1"/>
        <w:numId w:val="1"/>
      </w:numPr>
      <w:spacing w:before="0" w:after="0" w:line="276" w:lineRule="auto"/>
    </w:pPr>
    <w:rPr>
      <w:rFonts w:eastAsiaTheme="minorEastAsia"/>
      <w:b w:val="0"/>
      <w:bCs w:val="0"/>
      <w:lang w:eastAsia="en-US"/>
    </w:rPr>
  </w:style>
  <w:style w:type="paragraph" w:customStyle="1" w:styleId="IndiceDONI2">
    <w:name w:val="IndiceDONI2"/>
    <w:basedOn w:val="IndiceDONI"/>
    <w:link w:val="IndiceDONI2Car"/>
    <w:qFormat/>
    <w:rsid w:val="003F591A"/>
    <w:pPr>
      <w:spacing w:before="0" w:after="0"/>
    </w:pPr>
  </w:style>
  <w:style w:type="character" w:customStyle="1" w:styleId="BaseNormativaCar">
    <w:name w:val="BaseNormativa Car"/>
    <w:basedOn w:val="PrrafodelistaCar"/>
    <w:link w:val="BaseNormativa"/>
    <w:rsid w:val="003F591A"/>
    <w:rPr>
      <w:rFonts w:ascii="Arial" w:eastAsia="Arial" w:hAnsi="Arial" w:cs="Arial"/>
      <w:b w:val="0"/>
      <w:bCs w:val="0"/>
      <w:lang w:eastAsia="en-US"/>
    </w:rPr>
  </w:style>
  <w:style w:type="table" w:styleId="Tablaconcuadrcula">
    <w:name w:val="Table Grid"/>
    <w:basedOn w:val="Tablanormal"/>
    <w:uiPriority w:val="39"/>
    <w:rsid w:val="003F59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ndiceDONI2Car">
    <w:name w:val="IndiceDONI2 Car"/>
    <w:basedOn w:val="IndiceDONICar"/>
    <w:link w:val="IndiceDONI2"/>
    <w:rsid w:val="003F591A"/>
    <w:rPr>
      <w:rFonts w:ascii="Arial" w:eastAsia="Arial" w:hAnsi="Arial" w:cs="Arial"/>
      <w:b w:val="0"/>
      <w:bCs w:val="0"/>
      <w:color w:val="000000"/>
    </w:rPr>
  </w:style>
  <w:style w:type="character" w:styleId="Refdecomentario">
    <w:name w:val="annotation reference"/>
    <w:basedOn w:val="Fuentedeprrafopredeter"/>
    <w:uiPriority w:val="99"/>
    <w:semiHidden/>
    <w:unhideWhenUsed/>
    <w:rsid w:val="00C47FC1"/>
    <w:rPr>
      <w:sz w:val="16"/>
      <w:szCs w:val="16"/>
    </w:rPr>
  </w:style>
  <w:style w:type="paragraph" w:styleId="Textocomentario">
    <w:name w:val="annotation text"/>
    <w:basedOn w:val="Normal"/>
    <w:link w:val="TextocomentarioCar"/>
    <w:uiPriority w:val="99"/>
    <w:unhideWhenUsed/>
    <w:rsid w:val="00C47FC1"/>
    <w:pPr>
      <w:spacing w:line="240" w:lineRule="auto"/>
    </w:pPr>
    <w:rPr>
      <w:sz w:val="20"/>
      <w:szCs w:val="20"/>
    </w:rPr>
  </w:style>
  <w:style w:type="character" w:customStyle="1" w:styleId="TextocomentarioCar">
    <w:name w:val="Texto comentario Car"/>
    <w:basedOn w:val="Fuentedeprrafopredeter"/>
    <w:link w:val="Textocomentario"/>
    <w:uiPriority w:val="99"/>
    <w:rsid w:val="00C47FC1"/>
    <w:rPr>
      <w:sz w:val="20"/>
      <w:szCs w:val="20"/>
    </w:rPr>
  </w:style>
  <w:style w:type="paragraph" w:styleId="Asuntodelcomentario">
    <w:name w:val="annotation subject"/>
    <w:basedOn w:val="Textocomentario"/>
    <w:next w:val="Textocomentario"/>
    <w:link w:val="AsuntodelcomentarioCar"/>
    <w:uiPriority w:val="99"/>
    <w:semiHidden/>
    <w:unhideWhenUsed/>
    <w:rsid w:val="00C47FC1"/>
    <w:rPr>
      <w:b/>
      <w:bCs/>
    </w:rPr>
  </w:style>
  <w:style w:type="character" w:customStyle="1" w:styleId="AsuntodelcomentarioCar">
    <w:name w:val="Asunto del comentario Car"/>
    <w:basedOn w:val="TextocomentarioCar"/>
    <w:link w:val="Asuntodelcomentario"/>
    <w:uiPriority w:val="99"/>
    <w:semiHidden/>
    <w:rsid w:val="00C47FC1"/>
    <w:rPr>
      <w:b/>
      <w:bCs/>
      <w:sz w:val="20"/>
      <w:szCs w:val="20"/>
    </w:rPr>
  </w:style>
  <w:style w:type="paragraph" w:styleId="Revisin">
    <w:name w:val="Revision"/>
    <w:hidden/>
    <w:uiPriority w:val="99"/>
    <w:semiHidden/>
    <w:rsid w:val="00FA09F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1/relationships/commentsExtended" Target="commentsExtended.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comments" Target="comments.xm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microsoft.com/office/2018/08/relationships/commentsExtensible" Target="commentsExtensible.xml"/><Relationship Id="rId10" Type="http://schemas.openxmlformats.org/officeDocument/2006/relationships/endnotes" Target="endnotes.xml"/><Relationship Id="rId19"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6/09/relationships/commentsIds" Target="commentsId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5C14AC06E2BCC9479AB1E7BFB85765A3" ma:contentTypeVersion="3" ma:contentTypeDescription="Create a new document." ma:contentTypeScope="" ma:versionID="7c0f1869e227914bb9e091b5d5366560">
  <xsd:schema xmlns:xsd="http://www.w3.org/2001/XMLSchema" xmlns:xs="http://www.w3.org/2001/XMLSchema" xmlns:p="http://schemas.microsoft.com/office/2006/metadata/properties" xmlns:ns2="fdb19afe-0f16-4040-a6da-335f4767bfc9" targetNamespace="http://schemas.microsoft.com/office/2006/metadata/properties" ma:root="true" ma:fieldsID="a498babe3b735ed6250eb2675f7bac41" ns2:_="">
    <xsd:import namespace="fdb19afe-0f16-4040-a6da-335f4767bfc9"/>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db19afe-0f16-4040-a6da-335f4767bfc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007781DB-EED9-4359-8AD9-68137B52B701}">
  <ds:schemaRefs>
    <ds:schemaRef ds:uri="http://schemas.microsoft.com/sharepoint/v3/contenttype/forms"/>
  </ds:schemaRefs>
</ds:datastoreItem>
</file>

<file path=customXml/itemProps2.xml><?xml version="1.0" encoding="utf-8"?>
<ds:datastoreItem xmlns:ds="http://schemas.openxmlformats.org/officeDocument/2006/customXml" ds:itemID="{5C1C6231-2072-4263-80CD-99FB4E777A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db19afe-0f16-4040-a6da-335f4767bf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99D4DEC-5966-453E-8EBA-1FE602AD820F}">
  <ds:schemaRefs>
    <ds:schemaRef ds:uri="http://schemas.openxmlformats.org/officeDocument/2006/bibliography"/>
  </ds:schemaRefs>
</ds:datastoreItem>
</file>

<file path=customXml/itemProps4.xml><?xml version="1.0" encoding="utf-8"?>
<ds:datastoreItem xmlns:ds="http://schemas.openxmlformats.org/officeDocument/2006/customXml" ds:itemID="{E06D9414-6C68-4A1C-B889-BD6BE2EA8645}">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4860</TotalTime>
  <Pages>34</Pages>
  <Words>10715</Words>
  <Characters>58938</Characters>
  <Application>Microsoft Office Word</Application>
  <DocSecurity>0</DocSecurity>
  <Lines>491</Lines>
  <Paragraphs>139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69514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MK</dc:creator>
  <cp:lastModifiedBy>Kut Castro Mario Fernando</cp:lastModifiedBy>
  <cp:revision>130</cp:revision>
  <dcterms:created xsi:type="dcterms:W3CDTF">2026-03-23T21:09:00Z</dcterms:created>
  <dcterms:modified xsi:type="dcterms:W3CDTF">2026-07-29T06:43:00Z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0x0101005C14AC06E2BCC9479AB1E7BFB85765A3</vt:lpwstr>
  </property>
</Properties>
</file>