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28" w:rsidRDefault="00E91A28" w:rsidP="00E91A28">
      <w:pPr>
        <w:pStyle w:val="Heading2"/>
      </w:pPr>
      <w:r>
        <w:t>Programming Model – with 32 bit indexing enabled</w:t>
      </w:r>
    </w:p>
    <w:tbl>
      <w:tblPr>
        <w:tblStyle w:val="TableGrid"/>
        <w:tblW w:w="0" w:type="auto"/>
        <w:tblLook w:val="04A0" w:firstRow="1" w:lastRow="0" w:firstColumn="1" w:lastColumn="0" w:noHBand="0" w:noVBand="1"/>
      </w:tblPr>
      <w:tblGrid>
        <w:gridCol w:w="2394"/>
        <w:gridCol w:w="2394"/>
        <w:gridCol w:w="2394"/>
        <w:gridCol w:w="2394"/>
      </w:tblGrid>
      <w:tr w:rsidR="00E91A28" w:rsidTr="00E91A28">
        <w:tc>
          <w:tcPr>
            <w:tcW w:w="9576" w:type="dxa"/>
            <w:gridSpan w:val="4"/>
            <w:tcBorders>
              <w:top w:val="nil"/>
              <w:left w:val="nil"/>
              <w:right w:val="nil"/>
            </w:tcBorders>
          </w:tcPr>
          <w:p w:rsidR="00E91A28" w:rsidRDefault="00E91A28" w:rsidP="00E91A28">
            <w:pPr>
              <w:jc w:val="center"/>
            </w:pPr>
            <w:r>
              <w:t>31                                                                                                                                                                        0</w:t>
            </w:r>
          </w:p>
        </w:tc>
      </w:tr>
      <w:tr w:rsidR="00E91A28" w:rsidTr="000C383F">
        <w:tc>
          <w:tcPr>
            <w:tcW w:w="9576" w:type="dxa"/>
            <w:gridSpan w:val="4"/>
          </w:tcPr>
          <w:p w:rsidR="00E91A28" w:rsidRDefault="00E91A28" w:rsidP="00E91A28">
            <w:pPr>
              <w:jc w:val="center"/>
            </w:pPr>
            <w:r>
              <w:t>X – Index Register</w:t>
            </w:r>
          </w:p>
        </w:tc>
      </w:tr>
      <w:tr w:rsidR="00E91A28" w:rsidTr="000C383F">
        <w:tc>
          <w:tcPr>
            <w:tcW w:w="9576" w:type="dxa"/>
            <w:gridSpan w:val="4"/>
          </w:tcPr>
          <w:p w:rsidR="00E91A28" w:rsidRDefault="00E91A28" w:rsidP="00E91A28">
            <w:pPr>
              <w:jc w:val="center"/>
            </w:pPr>
            <w:r>
              <w:t>Y – Index Register</w:t>
            </w:r>
          </w:p>
        </w:tc>
      </w:tr>
      <w:tr w:rsidR="00E91A28" w:rsidTr="004F6233">
        <w:tc>
          <w:tcPr>
            <w:tcW w:w="9576" w:type="dxa"/>
            <w:gridSpan w:val="4"/>
          </w:tcPr>
          <w:p w:rsidR="00E91A28" w:rsidRDefault="00E91A28" w:rsidP="00E91A28">
            <w:pPr>
              <w:jc w:val="center"/>
            </w:pPr>
            <w:r>
              <w:t>U – User stack pointer</w:t>
            </w:r>
          </w:p>
        </w:tc>
      </w:tr>
      <w:tr w:rsidR="00E91A28" w:rsidTr="00084ADE">
        <w:tc>
          <w:tcPr>
            <w:tcW w:w="9576" w:type="dxa"/>
            <w:gridSpan w:val="4"/>
          </w:tcPr>
          <w:p w:rsidR="00E91A28" w:rsidRDefault="00E91A28" w:rsidP="00E91A28">
            <w:pPr>
              <w:jc w:val="center"/>
            </w:pPr>
            <w:r>
              <w:t>S – Hardware stack pointer</w:t>
            </w:r>
          </w:p>
        </w:tc>
      </w:tr>
      <w:tr w:rsidR="00E91A28" w:rsidTr="007279F3">
        <w:tc>
          <w:tcPr>
            <w:tcW w:w="9576" w:type="dxa"/>
            <w:gridSpan w:val="4"/>
          </w:tcPr>
          <w:p w:rsidR="00E91A28" w:rsidRDefault="00E91A28" w:rsidP="00E91A28">
            <w:pPr>
              <w:jc w:val="center"/>
            </w:pPr>
            <w:r>
              <w:t>PC</w:t>
            </w:r>
          </w:p>
        </w:tc>
      </w:tr>
      <w:tr w:rsidR="00E91A28" w:rsidTr="00E91A28">
        <w:tc>
          <w:tcPr>
            <w:tcW w:w="2394" w:type="dxa"/>
          </w:tcPr>
          <w:p w:rsidR="00E91A28" w:rsidRDefault="00E91A28" w:rsidP="00E91A28">
            <w:pPr>
              <w:jc w:val="center"/>
            </w:pPr>
            <w:r>
              <w:t>A</w:t>
            </w:r>
          </w:p>
        </w:tc>
        <w:tc>
          <w:tcPr>
            <w:tcW w:w="2394" w:type="dxa"/>
          </w:tcPr>
          <w:p w:rsidR="00E91A28" w:rsidRDefault="00E91A28" w:rsidP="00E91A28">
            <w:pPr>
              <w:jc w:val="center"/>
            </w:pPr>
            <w:r>
              <w:t>B</w:t>
            </w:r>
          </w:p>
        </w:tc>
        <w:tc>
          <w:tcPr>
            <w:tcW w:w="2394" w:type="dxa"/>
          </w:tcPr>
          <w:p w:rsidR="00E91A28" w:rsidRDefault="00E91A28" w:rsidP="00E91A28">
            <w:pPr>
              <w:jc w:val="center"/>
            </w:pPr>
            <w:r>
              <w:t>E</w:t>
            </w:r>
          </w:p>
        </w:tc>
        <w:tc>
          <w:tcPr>
            <w:tcW w:w="2394" w:type="dxa"/>
          </w:tcPr>
          <w:p w:rsidR="00E91A28" w:rsidRDefault="00E91A28" w:rsidP="00E91A28">
            <w:pPr>
              <w:jc w:val="center"/>
            </w:pPr>
            <w:r>
              <w:t>F</w:t>
            </w:r>
          </w:p>
        </w:tc>
      </w:tr>
    </w:tbl>
    <w:p w:rsidR="00FB1365" w:rsidRDefault="00FB1365"/>
    <w:p w:rsidR="00E91A28" w:rsidRDefault="00427B58">
      <w:proofErr w:type="gramStart"/>
      <w:r>
        <w:t>without</w:t>
      </w:r>
      <w:proofErr w:type="gramEnd"/>
      <w:r>
        <w:t xml:space="preserve"> 32 bit indexing</w:t>
      </w:r>
    </w:p>
    <w:tbl>
      <w:tblPr>
        <w:tblStyle w:val="TableGrid"/>
        <w:tblW w:w="0" w:type="auto"/>
        <w:tblLook w:val="04A0" w:firstRow="1" w:lastRow="0" w:firstColumn="1" w:lastColumn="0" w:noHBand="0" w:noVBand="1"/>
      </w:tblPr>
      <w:tblGrid>
        <w:gridCol w:w="2394"/>
        <w:gridCol w:w="2394"/>
        <w:gridCol w:w="2394"/>
        <w:gridCol w:w="2394"/>
      </w:tblGrid>
      <w:tr w:rsidR="00E91A28" w:rsidTr="00B03833">
        <w:tc>
          <w:tcPr>
            <w:tcW w:w="9576" w:type="dxa"/>
            <w:gridSpan w:val="4"/>
            <w:tcBorders>
              <w:top w:val="nil"/>
              <w:left w:val="nil"/>
              <w:right w:val="nil"/>
            </w:tcBorders>
          </w:tcPr>
          <w:p w:rsidR="00E91A28" w:rsidRDefault="00E91A28" w:rsidP="00E91A28">
            <w:pPr>
              <w:jc w:val="center"/>
            </w:pPr>
            <w:r>
              <w:t>31                                                                                 16   15                                                                                  0</w:t>
            </w:r>
          </w:p>
        </w:tc>
      </w:tr>
      <w:tr w:rsidR="00E91A28" w:rsidTr="00E65993">
        <w:tc>
          <w:tcPr>
            <w:tcW w:w="4788" w:type="dxa"/>
            <w:gridSpan w:val="2"/>
          </w:tcPr>
          <w:p w:rsidR="00E91A28" w:rsidRDefault="00E91A28" w:rsidP="00B03833">
            <w:pPr>
              <w:jc w:val="center"/>
            </w:pPr>
            <w:r>
              <w:t>0000</w:t>
            </w:r>
          </w:p>
        </w:tc>
        <w:tc>
          <w:tcPr>
            <w:tcW w:w="4788" w:type="dxa"/>
            <w:gridSpan w:val="2"/>
          </w:tcPr>
          <w:p w:rsidR="00E91A28" w:rsidRDefault="00E91A28" w:rsidP="00B03833">
            <w:pPr>
              <w:jc w:val="center"/>
            </w:pPr>
            <w:r>
              <w:t>X – Index Register</w:t>
            </w:r>
          </w:p>
        </w:tc>
      </w:tr>
      <w:tr w:rsidR="00E91A28" w:rsidTr="0060348C">
        <w:tc>
          <w:tcPr>
            <w:tcW w:w="4788" w:type="dxa"/>
            <w:gridSpan w:val="2"/>
          </w:tcPr>
          <w:p w:rsidR="00E91A28" w:rsidRDefault="00E91A28" w:rsidP="00B03833">
            <w:pPr>
              <w:jc w:val="center"/>
            </w:pPr>
            <w:r>
              <w:t>0000</w:t>
            </w:r>
          </w:p>
        </w:tc>
        <w:tc>
          <w:tcPr>
            <w:tcW w:w="4788" w:type="dxa"/>
            <w:gridSpan w:val="2"/>
          </w:tcPr>
          <w:p w:rsidR="00E91A28" w:rsidRDefault="00E91A28" w:rsidP="00B03833">
            <w:pPr>
              <w:jc w:val="center"/>
            </w:pPr>
            <w:r>
              <w:t>Y – Index Register</w:t>
            </w:r>
          </w:p>
        </w:tc>
      </w:tr>
      <w:tr w:rsidR="00E91A28" w:rsidTr="0003029C">
        <w:tc>
          <w:tcPr>
            <w:tcW w:w="4788" w:type="dxa"/>
            <w:gridSpan w:val="2"/>
          </w:tcPr>
          <w:p w:rsidR="00E91A28" w:rsidRDefault="00E91A28" w:rsidP="00B03833">
            <w:pPr>
              <w:jc w:val="center"/>
            </w:pPr>
            <w:r>
              <w:t>0000</w:t>
            </w:r>
          </w:p>
        </w:tc>
        <w:tc>
          <w:tcPr>
            <w:tcW w:w="4788" w:type="dxa"/>
            <w:gridSpan w:val="2"/>
          </w:tcPr>
          <w:p w:rsidR="00E91A28" w:rsidRDefault="00E91A28" w:rsidP="00B03833">
            <w:pPr>
              <w:jc w:val="center"/>
            </w:pPr>
            <w:r>
              <w:t>U – User stack pointer</w:t>
            </w:r>
          </w:p>
        </w:tc>
      </w:tr>
      <w:tr w:rsidR="00E91A28" w:rsidTr="008045CF">
        <w:tc>
          <w:tcPr>
            <w:tcW w:w="4788" w:type="dxa"/>
            <w:gridSpan w:val="2"/>
          </w:tcPr>
          <w:p w:rsidR="00E91A28" w:rsidRDefault="00E91A28" w:rsidP="00B03833">
            <w:pPr>
              <w:jc w:val="center"/>
            </w:pPr>
            <w:r>
              <w:t>0000</w:t>
            </w:r>
          </w:p>
        </w:tc>
        <w:tc>
          <w:tcPr>
            <w:tcW w:w="4788" w:type="dxa"/>
            <w:gridSpan w:val="2"/>
          </w:tcPr>
          <w:p w:rsidR="00E91A28" w:rsidRDefault="00E91A28" w:rsidP="00B03833">
            <w:pPr>
              <w:jc w:val="center"/>
            </w:pPr>
            <w:r>
              <w:t>S – Hardware stack pointer</w:t>
            </w:r>
          </w:p>
        </w:tc>
      </w:tr>
      <w:tr w:rsidR="00E91A28" w:rsidTr="00B03833">
        <w:tc>
          <w:tcPr>
            <w:tcW w:w="9576" w:type="dxa"/>
            <w:gridSpan w:val="4"/>
          </w:tcPr>
          <w:p w:rsidR="00E91A28" w:rsidRDefault="00E91A28" w:rsidP="00B03833">
            <w:pPr>
              <w:jc w:val="center"/>
            </w:pPr>
            <w:r>
              <w:t>PC</w:t>
            </w:r>
          </w:p>
        </w:tc>
      </w:tr>
      <w:tr w:rsidR="00E91A28" w:rsidTr="00B03833">
        <w:tc>
          <w:tcPr>
            <w:tcW w:w="2394" w:type="dxa"/>
          </w:tcPr>
          <w:p w:rsidR="00E91A28" w:rsidRDefault="00E91A28" w:rsidP="00B03833">
            <w:pPr>
              <w:jc w:val="center"/>
            </w:pPr>
            <w:r>
              <w:t>A</w:t>
            </w:r>
          </w:p>
        </w:tc>
        <w:tc>
          <w:tcPr>
            <w:tcW w:w="2394" w:type="dxa"/>
          </w:tcPr>
          <w:p w:rsidR="00E91A28" w:rsidRDefault="00E91A28" w:rsidP="00B03833">
            <w:pPr>
              <w:jc w:val="center"/>
            </w:pPr>
            <w:r>
              <w:t>B</w:t>
            </w:r>
          </w:p>
        </w:tc>
        <w:tc>
          <w:tcPr>
            <w:tcW w:w="2394" w:type="dxa"/>
          </w:tcPr>
          <w:p w:rsidR="00E91A28" w:rsidRDefault="00E91A28" w:rsidP="00B03833">
            <w:pPr>
              <w:jc w:val="center"/>
            </w:pPr>
            <w:r>
              <w:t>E</w:t>
            </w:r>
          </w:p>
        </w:tc>
        <w:tc>
          <w:tcPr>
            <w:tcW w:w="2394" w:type="dxa"/>
          </w:tcPr>
          <w:p w:rsidR="00E91A28" w:rsidRDefault="00E91A28" w:rsidP="00B03833">
            <w:pPr>
              <w:jc w:val="center"/>
            </w:pPr>
            <w:r>
              <w:t>F</w:t>
            </w:r>
          </w:p>
        </w:tc>
      </w:tr>
    </w:tbl>
    <w:p w:rsidR="00E91A28" w:rsidRDefault="00E91A28"/>
    <w:p w:rsidR="00E91A28" w:rsidRDefault="00672D63">
      <w:r>
        <w:t>A</w:t>
      </w:r>
      <w:proofErr w:type="gramStart"/>
      <w:r>
        <w:t>,B</w:t>
      </w:r>
      <w:proofErr w:type="gramEnd"/>
      <w:r>
        <w:t xml:space="preserve"> registers concatenate to form D register</w:t>
      </w:r>
    </w:p>
    <w:p w:rsidR="00672D63" w:rsidRDefault="00672D63">
      <w:r>
        <w:t>A</w:t>
      </w:r>
      <w:proofErr w:type="gramStart"/>
      <w:r>
        <w:t>,B,E,F</w:t>
      </w:r>
      <w:proofErr w:type="gramEnd"/>
      <w:r>
        <w:t xml:space="preserve"> registers concatenated form the Q register</w:t>
      </w:r>
    </w:p>
    <w:p w:rsidR="00382169" w:rsidRDefault="00382169">
      <w:r>
        <w:t>The E</w:t>
      </w:r>
      <w:proofErr w:type="gramStart"/>
      <w:r>
        <w:t>,F</w:t>
      </w:r>
      <w:proofErr w:type="gramEnd"/>
      <w:r>
        <w:t xml:space="preserve"> registers may be transferred or exchanged with the A, and B registers.</w:t>
      </w:r>
    </w:p>
    <w:p w:rsidR="00E91A28" w:rsidRDefault="00E91A28"/>
    <w:p w:rsidR="00E91A28" w:rsidRDefault="005C6A68" w:rsidP="005117EB">
      <w:pPr>
        <w:pStyle w:val="Heading2"/>
      </w:pPr>
      <w:r>
        <w:t xml:space="preserve">Instruction </w:t>
      </w:r>
      <w:r w:rsidR="00E91A28">
        <w:t>Prefixes</w:t>
      </w:r>
    </w:p>
    <w:p w:rsidR="00E91A28" w:rsidRDefault="00E91A28" w:rsidP="005117EB">
      <w:pPr>
        <w:pStyle w:val="Heading3"/>
      </w:pPr>
      <w:r>
        <w:t>FAR</w:t>
      </w:r>
    </w:p>
    <w:p w:rsidR="00E91A28" w:rsidRDefault="00E91A28" w:rsidP="00FB4876">
      <w:pPr>
        <w:ind w:left="720"/>
      </w:pPr>
      <w:r>
        <w:t xml:space="preserve">FAR when applied to </w:t>
      </w:r>
      <w:proofErr w:type="gramStart"/>
      <w:r>
        <w:t>extended</w:t>
      </w:r>
      <w:proofErr w:type="gramEnd"/>
      <w:r>
        <w:t xml:space="preserve"> addressing indicates to use a full 32 bit address rather than a 16 bit one. The FAR prefix works regardless of the index size.</w:t>
      </w:r>
    </w:p>
    <w:p w:rsidR="00E91A28" w:rsidRDefault="00E91A28" w:rsidP="00FB4876">
      <w:pPr>
        <w:ind w:left="720"/>
      </w:pPr>
      <w:r>
        <w:t>When the FAR prefix is applied to indirect addressing the prefix indicates that the indirect address is 32 bit. This allows the use of a 32 bit indirect address to reach anywhere in memory.</w:t>
      </w:r>
    </w:p>
    <w:p w:rsidR="00427B58" w:rsidRDefault="00427B58" w:rsidP="00FB4876">
      <w:pPr>
        <w:ind w:left="720"/>
      </w:pPr>
      <w:proofErr w:type="spellStart"/>
      <w:r>
        <w:t>Opcode</w:t>
      </w:r>
      <w:proofErr w:type="spellEnd"/>
      <w:r>
        <w:t>: 0x15</w:t>
      </w:r>
    </w:p>
    <w:p w:rsidR="00E91A28" w:rsidRDefault="00E91A28" w:rsidP="005117EB">
      <w:pPr>
        <w:pStyle w:val="Heading3"/>
      </w:pPr>
      <w:r>
        <w:t>POST</w:t>
      </w:r>
    </w:p>
    <w:p w:rsidR="00E91A28" w:rsidRDefault="00E91A28" w:rsidP="00FB4876">
      <w:pPr>
        <w:ind w:left="720"/>
      </w:pPr>
      <w:r>
        <w:t>The POST prefix indicates that the index register is applied after retrieving an indirect address. Normally the index register is used in the calculation of the indirect address.</w:t>
      </w:r>
    </w:p>
    <w:p w:rsidR="00E91A28" w:rsidRDefault="00427B58" w:rsidP="00FB4876">
      <w:pPr>
        <w:ind w:left="720"/>
      </w:pPr>
      <w:proofErr w:type="spellStart"/>
      <w:r>
        <w:t>Opcode</w:t>
      </w:r>
      <w:proofErr w:type="spellEnd"/>
      <w:r>
        <w:t>: 0x1B</w:t>
      </w:r>
    </w:p>
    <w:p w:rsidR="005117EB" w:rsidRDefault="005117EB">
      <w:r>
        <w:br w:type="page"/>
      </w:r>
    </w:p>
    <w:p w:rsidR="00E91A28" w:rsidRDefault="005117EB" w:rsidP="005117EB">
      <w:pPr>
        <w:pStyle w:val="Heading2"/>
      </w:pPr>
      <w:r>
        <w:lastRenderedPageBreak/>
        <w:t>Additional Instructions</w:t>
      </w:r>
    </w:p>
    <w:p w:rsidR="005117EB" w:rsidRPr="005117EB" w:rsidRDefault="005117EB" w:rsidP="005117EB"/>
    <w:p w:rsidR="005117EB" w:rsidRDefault="005117EB">
      <w:r w:rsidRPr="005117EB">
        <w:rPr>
          <w:rStyle w:val="Heading3Char"/>
        </w:rPr>
        <w:t>JMP FAR</w:t>
      </w:r>
      <w:r>
        <w:t xml:space="preserve"> – performs a jump using a 32 bit extended address.</w:t>
      </w:r>
    </w:p>
    <w:p w:rsidR="00427B58" w:rsidRDefault="00427B58" w:rsidP="00427B58">
      <w:pPr>
        <w:ind w:firstLine="720"/>
      </w:pPr>
      <w:proofErr w:type="spellStart"/>
      <w:r>
        <w:t>Opcode</w:t>
      </w:r>
      <w:proofErr w:type="spellEnd"/>
      <w:r>
        <w:t>: 0x8F</w:t>
      </w:r>
    </w:p>
    <w:p w:rsidR="005117EB" w:rsidRDefault="005117EB">
      <w:r w:rsidRPr="005117EB">
        <w:rPr>
          <w:rStyle w:val="Heading3Char"/>
        </w:rPr>
        <w:t>JSR FAR</w:t>
      </w:r>
      <w:r>
        <w:t xml:space="preserve"> – performs a jump to subroutine using a 32 bit extended address. The full 32 bit program counter is stored on the stack.</w:t>
      </w:r>
    </w:p>
    <w:p w:rsidR="00427B58" w:rsidRDefault="00427B58" w:rsidP="00427B58">
      <w:pPr>
        <w:ind w:firstLine="720"/>
      </w:pPr>
      <w:proofErr w:type="spellStart"/>
      <w:r>
        <w:t>Opcode</w:t>
      </w:r>
      <w:proofErr w:type="spellEnd"/>
      <w:r>
        <w:t>: 0xCF</w:t>
      </w:r>
    </w:p>
    <w:p w:rsidR="005117EB" w:rsidRDefault="005117EB">
      <w:r w:rsidRPr="005117EB">
        <w:rPr>
          <w:rStyle w:val="Heading3Char"/>
        </w:rPr>
        <w:t>RTF</w:t>
      </w:r>
      <w:r>
        <w:t xml:space="preserve"> – performs a far return from subroutine by loading a full 32 bit program counter from the stack.</w:t>
      </w:r>
    </w:p>
    <w:p w:rsidR="00427B58" w:rsidRDefault="00427B58" w:rsidP="00427B58">
      <w:pPr>
        <w:ind w:firstLine="720"/>
      </w:pPr>
      <w:proofErr w:type="spellStart"/>
      <w:r>
        <w:t>Opcode</w:t>
      </w:r>
      <w:proofErr w:type="spellEnd"/>
      <w:r>
        <w:t>: 0x38</w:t>
      </w:r>
    </w:p>
    <w:p w:rsidR="005117EB" w:rsidRDefault="0055135A">
      <w:r w:rsidRPr="0055135A">
        <w:rPr>
          <w:rStyle w:val="Heading3Char"/>
        </w:rPr>
        <w:t>LDMD</w:t>
      </w:r>
      <w:r>
        <w:t xml:space="preserve"> – loads the mode register</w:t>
      </w:r>
    </w:p>
    <w:p w:rsidR="0055135A" w:rsidRDefault="0055135A">
      <w:r>
        <w:tab/>
      </w:r>
      <w:proofErr w:type="gramStart"/>
      <w:r>
        <w:t>bit</w:t>
      </w:r>
      <w:proofErr w:type="gramEnd"/>
      <w:r>
        <w:t xml:space="preserve"> [2] when set indicates to use 32 bit index registers</w:t>
      </w:r>
    </w:p>
    <w:p w:rsidR="0055135A" w:rsidRDefault="0055135A">
      <w:r>
        <w:tab/>
      </w:r>
      <w:proofErr w:type="gramStart"/>
      <w:r>
        <w:t>bit</w:t>
      </w:r>
      <w:proofErr w:type="gramEnd"/>
      <w:r>
        <w:t xml:space="preserve"> [1] indicates that a </w:t>
      </w:r>
      <w:proofErr w:type="spellStart"/>
      <w:r>
        <w:t>Firq</w:t>
      </w:r>
      <w:proofErr w:type="spellEnd"/>
      <w:r>
        <w:t xml:space="preserve"> should stack all registers</w:t>
      </w:r>
    </w:p>
    <w:p w:rsidR="00E91A28" w:rsidRDefault="00427B58" w:rsidP="00427B58">
      <w:pPr>
        <w:ind w:firstLine="720"/>
      </w:pPr>
      <w:proofErr w:type="spellStart"/>
      <w:r>
        <w:t>Opcode</w:t>
      </w:r>
      <w:proofErr w:type="spellEnd"/>
      <w:r>
        <w:t>: 0x113D</w:t>
      </w:r>
    </w:p>
    <w:p w:rsidR="00A55E07" w:rsidRDefault="00A55E07"/>
    <w:p w:rsidR="00672D63" w:rsidRDefault="00A55E07">
      <w:r>
        <w:t>Without 32 bit indexing enabled, the stacks must reside within the first 64k bank of memory.</w:t>
      </w:r>
    </w:p>
    <w:p w:rsidR="005C3181" w:rsidRDefault="005C3181">
      <w:r>
        <w:t>Indirect addresses must reside within the first 64k bank of memory.</w:t>
      </w:r>
      <w:bookmarkStart w:id="0" w:name="_GoBack"/>
      <w:bookmarkEnd w:id="0"/>
    </w:p>
    <w:p w:rsidR="00A55E07" w:rsidRDefault="00A55E07"/>
    <w:p w:rsidR="00427B58" w:rsidRDefault="00672D63" w:rsidP="00672D63">
      <w:pPr>
        <w:pStyle w:val="Heading2"/>
      </w:pPr>
      <w:r>
        <w:t>Differences from the 6809</w:t>
      </w:r>
    </w:p>
    <w:p w:rsidR="001D2EF5" w:rsidRDefault="001D2EF5">
      <w:r>
        <w:t>The program counter is a full 32 bit register. The JMP and JSR instructions modify only the low order 16 bits of the program counter. To modify the full 32 bits use the JMP FAR and JSR FAR instructions.</w:t>
      </w:r>
    </w:p>
    <w:p w:rsidR="00672D63" w:rsidRDefault="00672D63">
      <w:r>
        <w:t>During interrupt processing the entire 32 bit program counter is stacked. The RTI instruction also loads the entire 32 bit program counter.</w:t>
      </w:r>
    </w:p>
    <w:p w:rsidR="004B2DE3" w:rsidRDefault="004B2DE3" w:rsidP="004B2DE3">
      <w:pPr>
        <w:pStyle w:val="Heading3"/>
      </w:pPr>
      <w:r>
        <w:t>Hardware:</w:t>
      </w:r>
    </w:p>
    <w:p w:rsidR="00672D63" w:rsidRDefault="004B2DE3">
      <w:r>
        <w:t xml:space="preserve">This is a </w:t>
      </w:r>
      <w:proofErr w:type="spellStart"/>
      <w:r>
        <w:t>softcore</w:t>
      </w:r>
      <w:proofErr w:type="spellEnd"/>
      <w:r>
        <w:t xml:space="preserve"> implementation of a 6809 compatible processor. As such no attempt was made to duplicate the 6809’s bus cycle activity. Instructions may not execute in the same number of clock cycles as the 6809. Also the core uses a </w:t>
      </w:r>
      <w:r w:rsidR="00005B79">
        <w:t xml:space="preserve">32 bit </w:t>
      </w:r>
      <w:r>
        <w:t>WISHBONE bus to interface to the system.</w:t>
      </w:r>
      <w:r w:rsidR="00005B79">
        <w:t xml:space="preserve"> Occasionally the core may make use of 32 bit transfers if the address is appropriately aligned. </w:t>
      </w:r>
    </w:p>
    <w:sectPr w:rsidR="00672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28"/>
    <w:rsid w:val="00005B79"/>
    <w:rsid w:val="001D2EF5"/>
    <w:rsid w:val="00382169"/>
    <w:rsid w:val="00427B58"/>
    <w:rsid w:val="004B2DE3"/>
    <w:rsid w:val="005117EB"/>
    <w:rsid w:val="0055135A"/>
    <w:rsid w:val="005C3181"/>
    <w:rsid w:val="005C6A68"/>
    <w:rsid w:val="00672D63"/>
    <w:rsid w:val="00A55E07"/>
    <w:rsid w:val="00DA040B"/>
    <w:rsid w:val="00E91A28"/>
    <w:rsid w:val="00FB1365"/>
    <w:rsid w:val="00FB48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1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1A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17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91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1A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17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11</cp:revision>
  <dcterms:created xsi:type="dcterms:W3CDTF">2013-10-27T12:53:00Z</dcterms:created>
  <dcterms:modified xsi:type="dcterms:W3CDTF">2013-10-27T14:20:00Z</dcterms:modified>
</cp:coreProperties>
</file>