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emf" ContentType="image/x-emf"/>
  <Override PartName="/word/media/image6.wmf" ContentType="image/x-wmf"/>
  <Override PartName="/word/media/image5.wmf" ContentType="image/x-wmf"/>
  <Override PartName="/word/media/image1.jpeg" ContentType="image/jpeg"/>
  <Override PartName="/word/media/image3.wmf" ContentType="image/x-wmf"/>
  <Override PartName="/word/media/image8.emf" ContentType="image/x-emf"/>
  <Override PartName="/word/media/image2.jpeg" ContentType="image/jpeg"/>
  <Override PartName="/word/media/image4.wmf" ContentType="image/x-wmf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2"/>
        </w:numPr>
        <w:spacing w:before="240" w:after="120"/>
        <w:rPr/>
      </w:pPr>
      <w:r>
        <w:rPr/>
        <w:t>Časoměrný algoritmus</w:t>
      </w:r>
    </w:p>
    <w:p>
      <w:pPr>
        <w:pStyle w:val="Tlotextu"/>
        <w:numPr>
          <w:ilvl w:val="0"/>
          <w:numId w:val="2"/>
        </w:numPr>
        <w:rPr/>
      </w:pPr>
      <w:r>
        <w:rPr/>
        <w:t>Přijímaný signál se skládá ze dvou samostatně generovaných signálů. Každý z nich se skládá z nosné vlny na které je pomocí binary phase shifted keying (BPSK) modulace namodulovaný pseudonáhodný (PRN) rozprostírací kód. Jedná o Goldovy kódy a každý z generovaných signálů využívá jiný kód.</w:t>
      </w:r>
    </w:p>
    <w:p>
      <w:pPr>
        <w:pStyle w:val="Tlotextu"/>
        <w:rPr/>
      </w:pPr>
      <w:r>
        <w:rPr/>
        <w:t xml:space="preserve">Goldovy kódy patří do kategorie dlouhých pseudonáhodných kódů PRN. Jedná se o zdánlivě náhodné sekvence používané k rozprostření spektra signálu. Tyto sekvence se dají v přijímači opět reprodukovat a tím získat původní signál. Tímto umožňují více uživatelům využívat stejné kmitočtové pásmo aniž by se komunikace ovlivňovaly. Tyto kódy jsou použity v mnoha CDMA (code dividion multiple acces) systémech včetně GPS z důvodu svých auto a cross korelačních vlastností. Časové rozdíly se měří ze vzájemného posunutí </w:t>
      </w:r>
      <w:r>
        <w:rPr>
          <w:rFonts w:eastAsia="Noto Sans CJK SC Regular" w:cs="FreeSans"/>
          <w:i/>
          <w:iCs/>
        </w:rPr>
        <w:t>Δτ</w:t>
      </w:r>
      <w:r>
        <w:rPr>
          <w:rFonts w:eastAsia="Noto Sans CJK SC Regular" w:cs="FreeSans"/>
        </w:rPr>
        <w:t xml:space="preserve"> PRN kódů generovaných v přijímači a synchronyzovaných s přijímanými PRN kódy.</w:t>
      </w:r>
    </w:p>
    <w:p>
      <w:pPr>
        <w:pStyle w:val="Tlotextu"/>
        <w:spacing w:before="0" w:after="140"/>
        <w:rPr/>
      </w:pPr>
      <w:r>
        <w:rPr/>
        <w:t>Přijímaný signál je nejprve v přijímači RTL-SDR analogově smíšen na mezifrekvenci, digitalizován a digitálně smíšen do base bandu.</w:t>
      </w:r>
    </w:p>
    <w:p>
      <w:pPr>
        <w:pStyle w:val="Tlotextu"/>
        <w:rPr/>
      </w:pPr>
      <w:r>
        <w:rPr/>
        <w:t xml:space="preserve"> </w:t>
      </w:r>
      <w:r>
        <w:rPr/>
        <w:t>Popsat zpracování</w:t>
      </w:r>
    </w:p>
    <w:p>
      <w:pPr>
        <w:pStyle w:val="Tlotextu"/>
        <w:rPr/>
      </w:pPr>
      <w:r>
        <w:rPr/>
        <w:t>Výstup přijímače ve formě I/Q vzorků byl nahrán do souboru, ze kterého byla data vyčítána vytvořeným algoritmem.</w:t>
      </w:r>
    </w:p>
    <w:p>
      <w:pPr>
        <w:pStyle w:val="Tlotextu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4251960"/>
            <wp:effectExtent l="0" t="0" r="0" b="0"/>
            <wp:wrapTopAndBottom/>
            <wp:docPr id="1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br.1 Prohodit generování NCO a generovani goldu</w:t>
      </w:r>
    </w:p>
    <w:p>
      <w:pPr>
        <w:pStyle w:val="Tlotextu"/>
        <w:rPr/>
      </w:pPr>
      <w:r>
        <w:rPr/>
        <w:t>Na obr.1 je znázorněno schéma přípravy vstupních dat pro hlavní část synchronizující přijímaný a generovaný kód (signal processing algorithm). Nejprve je vygenerován nadvzorkovaný referenční sinusový průběh pro NCO (Numerically Controled Oscilator). Harmonický průběh na výstupu NCO je generován pomocí fázového akumulátoru (phase acumulator). V mém případě se jedná o proměnnou obsahující informaci o aktuálním vzorku vyčítaného z registru obsahujícího referenční sinusový průběhem (phase to amplitude convertoru). Frekvence generovaného průběhu se dá měnit konstantou přičítanou k fázovému akumulátoru s každým vzorkem.</w:t>
      </w:r>
    </w:p>
    <w:p>
      <w:pPr>
        <w:pStyle w:val="Tlotextu"/>
        <w:rPr/>
      </w:pPr>
      <w:r>
        <w:rPr/>
        <w:t>Poté následuje vygenerování registrů obsahujících očekávané PRN kódy ve formě 1 a -1. Vygenerované PRN kódy jsou nadvzorkovány a jejich generování probíhá obdobným způsobem  jako v NCO. Tento způsob byl zvolen aby bylo v budoucnu umožněno odstranit vliv dopplerovského posunu na chipovou frekvenci. Další jsou nastaveny ostatní algoritmem používané proměnné, především paměťové registry, využívané v těle cyklu smyčkami DLL (Delay locked loop) a PLL (Phase locked loop). Zde končí inicializační část algoritmu. Následuje načtení sumy I/Q vzorků ze souboru a zpracování vzorků. V real-time aplikacích je nezbytný paralelní chod zpracování vzorků pro jednotlivé sledované sekvence naznačený na obr.1. Experimenty byly prováděny formou post-proccesingu v laboratorních podmínkách a byly měřeny 2 sekvece, proto ve vytvořeném algoritmu je paralelizace nahrazena opakováním těla cyklu pro obě sekvence.</w:t>
      </w:r>
    </w:p>
    <w:p>
      <w:pPr>
        <w:pStyle w:val="Tlotextu"/>
        <w:rPr/>
      </w:pPr>
      <w:r>
        <w:rPr/>
        <w:t>Na obr.3 je znázorněno blokové funkční schéma signal aquisition and tracking algoritmu. Toto schéma bylo vybráno pro větší názornost zpracování vstupního signálu.</w:t>
      </w:r>
    </w:p>
    <w:p>
      <w:pPr>
        <w:pStyle w:val="Tlotextu"/>
        <w:spacing w:before="0" w:after="14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5430"/>
            <wp:effectExtent l="0" t="0" r="0" b="0"/>
            <wp:wrapTopAndBottom/>
            <wp:docPr id="2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br.3</w:t>
      </w:r>
    </w:p>
    <w:p>
      <w:pPr>
        <w:pStyle w:val="Tlotextu"/>
        <w:spacing w:before="0" w:after="140"/>
        <w:rPr/>
      </w:pPr>
      <w:bookmarkStart w:id="0" w:name="__DdeLink__78_910764949"/>
      <w:bookmarkEnd w:id="0"/>
      <w:r>
        <w:rPr/>
        <w:t>A Software-Defined GPS and Galileo Receiver: str133</w:t>
        <w:tab/>
        <w:t>7.5 code tracking</w:t>
      </w:r>
    </w:p>
    <w:p>
      <w:pPr>
        <w:pStyle w:val="Tlotextu"/>
        <w:spacing w:before="0" w:after="140"/>
        <w:rPr/>
      </w:pPr>
      <w:r>
        <w:rPr/>
        <w:t>Přijímaný signál je v přijímači RTL-SDR konvertován do base bandu a vystupuje ve formě I a Q vzorků. Na průbězích I a Q v grafu {I(t + Q(t)} je vidět parazitní amplitudová modulace. Tato modulace má za následek periodické střídání polarity PRN kódů obsaženého v signálu. Zároveň dochází k přelévání energie mezi větvemi.</w:t>
      </w:r>
    </w:p>
    <w:p>
      <w:pPr>
        <w:pStyle w:val="Tlotextu"/>
        <w:spacing w:before="0" w:after="1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315" cy="2651125"/>
            <wp:effectExtent l="0" t="0" r="0" b="0"/>
            <wp:wrapTopAndBottom/>
            <wp:docPr id="3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raf {I(t)+Q(t)}</w:t>
      </w:r>
    </w:p>
    <w:p>
      <w:pPr>
        <w:pStyle w:val="Tlotextu"/>
        <w:spacing w:before="0" w:after="140"/>
        <w:rPr/>
      </w:pPr>
      <w:r>
        <w:rPr/>
        <w:t>A Software-Defined GPS and Galileo Receiver: str 117</w:t>
      </w:r>
    </w:p>
    <w:p>
      <w:pPr>
        <w:pStyle w:val="Tlotextu"/>
        <w:spacing w:before="0" w:after="140"/>
        <w:rPr/>
      </w:pPr>
      <w:r>
        <w:rPr/>
        <w:t xml:space="preserve">Signal processing algoritmus lze rozdělit na code tracking a carrier tracking část. Úkolem code tracking loop je sledovat specifický kód v signálu. Výstupem takovéto smyčky je dokonale zarovnaná replika sledovaného kódu. Použitý code tracking loop je </w:t>
      </w:r>
      <w:bookmarkStart w:id="1" w:name="__DdeLink__144_1002741960"/>
      <w:r>
        <w:rPr/>
        <w:t>non-coherent</w:t>
      </w:r>
      <w:bookmarkEnd w:id="1"/>
      <w:r>
        <w:rPr/>
        <w:t xml:space="preserve"> delay locked loop DLL nazývaný také early-late tracking loop. Non-coherent DLL umožňuje synchronizaci generované repliky s přijímaným kódem i v podobě která je vidět v graf {I(t)+Q(t)}, jelikož využívá obou větví. Pro synchronizaci je využito korelace vstupního signálu se třemi replikami kódu jak lze vidět na obr.3.</w:t>
      </w:r>
    </w:p>
    <w:p>
      <w:pPr>
        <w:pStyle w:val="Tlotextu"/>
        <w:spacing w:before="0" w:after="140"/>
        <w:rPr/>
      </w:pPr>
      <w:r>
        <w:rPr/>
        <w:t xml:space="preserve">Po vynásobení replik s přijímaným signálem je všech šest korelačních výstupů uloženo, a  (integrated and dumped) po </w:t>
      </w:r>
      <w:r>
        <w:rPr>
          <w:i/>
          <w:iCs/>
        </w:rPr>
        <w:t>N</w:t>
      </w:r>
      <w:r>
        <w:rPr/>
        <w:t xml:space="preserve"> počtu vzorků jsou vypočítány korelační průměry </w:t>
      </w:r>
      <w:r>
        <w:rPr>
          <w:i/>
          <w:iCs/>
        </w:rPr>
        <w:t>I</w:t>
      </w:r>
      <w:r>
        <w:rPr>
          <w:i/>
          <w:iCs/>
          <w:vertAlign w:val="subscript"/>
        </w:rPr>
        <w:t>x</w:t>
      </w:r>
      <w:r>
        <w:rPr/>
        <w:t xml:space="preserve"> a </w:t>
      </w:r>
      <w:r>
        <w:rPr>
          <w:i/>
          <w:iCs/>
        </w:rPr>
        <w:t>Q</w:t>
      </w:r>
      <w:r>
        <w:rPr>
          <w:i/>
          <w:iCs/>
          <w:vertAlign w:val="subscript"/>
        </w:rPr>
        <w:t>x</w:t>
      </w:r>
      <w:r>
        <w:rPr/>
        <w:t>. Výstupy I</w:t>
      </w:r>
      <w:r>
        <w:rPr>
          <w:vertAlign w:val="subscript"/>
        </w:rPr>
        <w:t>x</w:t>
      </w:r>
      <w:r>
        <w:rPr>
          <w:position w:val="0"/>
          <w:sz w:val="24"/>
          <w:sz w:val="24"/>
          <w:vertAlign w:val="baseline"/>
        </w:rPr>
        <w:t xml:space="preserve"> a Q</w:t>
      </w:r>
      <w:r>
        <w:rPr>
          <w:vertAlign w:val="subscript"/>
        </w:rPr>
        <w:t>x</w:t>
      </w:r>
      <w:r>
        <w:rPr/>
        <w:t xml:space="preserve"> indikují jak moc daná replika kódu koreluje s přijímaným signálem. Jelikož se energie přelévá mezi I a Q větví je nutné využít obě větve.</w:t>
      </w:r>
    </w:p>
    <w:p>
      <w:pPr>
        <w:pStyle w:val="Tlotextu"/>
        <w:spacing w:before="0" w:after="1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nary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e>
        </m:nary>
      </m:oMath>
    </w:p>
    <w:p>
      <w:pPr>
        <w:pStyle w:val="Tlotextu"/>
        <w:spacing w:before="0" w:after="140"/>
        <w:rPr/>
      </w:pPr>
      <w:r>
        <w:rPr/>
        <w:t>V DLL diskriminátoru je poté z těchto hodnot vypočítána korekce generovaných replik a použita pro další sumu N vzorků.</w:t>
      </w:r>
    </w:p>
    <w:p>
      <w:pPr>
        <w:pStyle w:val="Tlotextu"/>
        <w:spacing w:before="0" w:after="1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DLL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</m:oMath>
    </w:p>
    <w:p>
      <w:pPr>
        <w:pStyle w:val="Tlotextu"/>
        <w:spacing w:before="0" w:after="140"/>
        <w:rPr/>
      </w:pPr>
      <w:r>
        <w:rPr/>
        <w:t>(pro potlačení šumu v okoli minima zkusit normalizovat Ip a Qp, když odstranim parazitní AM posčítám a pak použiju sign)</w:t>
      </w:r>
    </w:p>
    <w:p>
      <w:pPr>
        <w:pStyle w:val="Tlotextu"/>
        <w:spacing w:before="0" w:after="140"/>
        <w:rPr/>
      </w:pPr>
      <w:r>
        <w:rPr/>
        <w:t>Ve výše uvedeném diskriminátoru je nutno zabránit výpočtu pokud je hodnota Ip nebo Qp rovna nule. Pokud tento jev nastane není výpočet korekce proveden.</w:t>
      </w:r>
    </w:p>
    <w:p>
      <w:pPr>
        <w:pStyle w:val="Tlotextu"/>
        <w:spacing w:before="0" w:after="140"/>
        <w:rPr/>
      </w:pPr>
      <w:r>
        <w:rPr/>
        <w:t xml:space="preserve">Pokud je indikován stav DLL_lock (upravit) je také uložena hodnota </w:t>
      </w:r>
      <w:r>
        <w:rPr>
          <w:rFonts w:eastAsia="Noto Sans CJK SC Regular" w:cs="FreeSans"/>
          <w:i/>
          <w:iCs/>
        </w:rPr>
        <w:t>τ</w:t>
      </w:r>
      <w:r>
        <w:rPr>
          <w:rFonts w:eastAsia="Noto Sans CJK SC Regular" w:cs="FreeSans"/>
          <w:i/>
          <w:iCs/>
          <w:vertAlign w:val="subscript"/>
        </w:rPr>
        <w:t>gold_number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(i)</w:t>
      </w:r>
      <w:r>
        <w:rPr>
          <w:rFonts w:eastAsia="Noto Sans CJK SC Regular" w:cs="FreeSans"/>
        </w:rPr>
        <w:t xml:space="preserve"> posuvu prompt repliky použitého PRN kódu. V opačném případě je uloženo číslo přesahující meze možných hodnot </w:t>
      </w:r>
      <w:r>
        <w:rPr>
          <w:rFonts w:eastAsia="Noto Sans CJK SC Regular" w:cs="FreeSans"/>
          <w:i/>
          <w:iCs/>
        </w:rPr>
        <w:t>τ</w:t>
      </w:r>
      <w:r>
        <w:rPr>
          <w:rFonts w:eastAsia="Noto Sans CJK SC Regular" w:cs="FreeSans"/>
          <w:i/>
          <w:iCs/>
          <w:vertAlign w:val="subscript"/>
        </w:rPr>
        <w:t>gold_number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(i)</w:t>
      </w:r>
      <w:r>
        <w:rPr>
          <w:rFonts w:eastAsia="Noto Sans CJK SC Regular" w:cs="FreeSans"/>
          <w:i w:val="false"/>
          <w:iCs w:val="false"/>
          <w:position w:val="0"/>
          <w:sz w:val="24"/>
          <w:sz w:val="24"/>
          <w:vertAlign w:val="baseline"/>
        </w:rPr>
        <w:t>. Tato hodnota je ukládána pro účely debugingu, v pozdějších verzích algoritmu se nebude ukládat žádná hodnota pokud nebude zaznamenán stav DLL_lock</w:t>
      </w:r>
      <w:r>
        <w:rPr>
          <w:rFonts w:eastAsia="Noto Sans CJK SC Regular" w:cs="FreeSans"/>
        </w:rPr>
        <w:t>.</w:t>
      </w:r>
    </w:p>
    <w:p>
      <w:pPr>
        <w:pStyle w:val="Tlotextu"/>
        <w:spacing w:before="0" w:after="140"/>
        <w:rPr/>
      </w:pPr>
      <w:r>
        <w:rPr>
          <w:rFonts w:eastAsia="Noto Sans CJK SC Regular" w:cs="FreeSans"/>
          <w:i w:val="false"/>
          <w:iCs w:val="false"/>
        </w:rPr>
        <w:t>Vynásobením přijatého signálu se synchronizovanou replikou PRN kódu, je tento kód ze signálu odstraněn a zůstane původní rozprostřený datový signál. Jelikož zatím nejsou v měřených signálech obsažena žádná data, je datový výstup při synchronizaci v ideálním případě konstantní a je využit k detekci synchronizace DLL. Reálný signál obsahuje ještě parazitní modulaci vzniklou nesouladem frekvencí ve směšovači v RTL-SDR. Pro správnou funkci datového výstupu je nutné odstranit periodické střídání polarity korelace vynásobením se synchronizovaným harmonickým průběhem. Tohoto je docíleno fázovým závěsem vloženým za smyčkou DLL. Výstup NCO pro větev I je vidět v grafu {ip(t)+NCOsin}.</w:t>
      </w:r>
    </w:p>
    <w:p>
      <w:pPr>
        <w:pStyle w:val="Tlotextu"/>
        <w:spacing w:before="0" w:after="1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2710" cy="3034030"/>
            <wp:effectExtent l="0" t="0" r="0" b="0"/>
            <wp:wrapTopAndBottom/>
            <wp:docPr id="4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raf {ip(t)+NCOsin}</w:t>
      </w:r>
    </w:p>
    <w:p>
      <w:pPr>
        <w:pStyle w:val="Tlotextu"/>
        <w:spacing w:before="0" w:after="140"/>
        <w:rPr/>
      </w:pPr>
      <w:r>
        <w:rPr/>
        <w:t xml:space="preserve">Na grafu {ip(t)+NCOsin} je vidět okamžitoá korelační hodnotoa ip(t) a sinusovým průběhem generovaným NCO. V tomto grafu v čase okolo 10 ms došlo k synchronizaci repliky s přijímaným signálem. Do tohoto bodu je vidět náhodný korelační průběh. a od tohoto bodu dále je vidět parazitní modulace, kterou je nutno odstranit. Frekvence NCO je nejprve nastavena na defaultní hodnotu očekávané frekvencce. Jakmile je k dispozici dostatek vzorků v paměti FFT, je periodicky vypočítávána přesnější hodnota. Vstupem pro FFT jsou hodnoty okamžité korelace </w:t>
      </w:r>
      <w:r>
        <w:rPr>
          <w:i/>
          <w:iCs/>
        </w:rPr>
        <w:t>ip(t)</w:t>
      </w:r>
      <w:r>
        <w:rPr/>
        <w:t>. Důvod je vidět v grafu {spektra}. Ve spektru pro synchronní repliku (spodní graf) je vidět dominantní spektrální čára.</w:t>
      </w:r>
    </w:p>
    <w:p>
      <w:pPr>
        <w:pStyle w:val="Tlotextu"/>
        <w:spacing w:before="0" w:after="140"/>
        <w:rPr/>
      </w:pPr>
      <w:r>
        <w:rPr/>
        <w:t>Korekce NCO probíhají totožně jako u DLL každých N vzorků. Diskriminační funkce použitého PLL je dvouparametrový arcus tangents.</w:t>
      </w:r>
    </w:p>
    <w:p>
      <w:pPr>
        <w:pStyle w:val="Tlotextu"/>
        <w:spacing w:before="0" w:after="1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atan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</w:p>
    <w:p>
      <w:pPr>
        <w:pStyle w:val="Tlotextu"/>
        <w:spacing w:before="0" w:after="140"/>
        <w:rPr/>
      </w:pPr>
      <w:r>
        <w:rPr/>
        <w:t>Fáze NCO je každých N vzorků skokově změněna jak je vidět v grafu {ip(t)+NCOsin}. Při generování nesynchroní repliky kódu průběh není harmonický a dochází k velkým skokům. Jakmile došlo k synchronizaci kódů začal být generován harmonický průběh a minimalizovali se korekce. Pro Q větev se děje to samé s průběhem posunutým o pi/2.</w:t>
      </w:r>
    </w:p>
    <w:p>
      <w:pPr>
        <w:pStyle w:val="Tlotextu"/>
        <w:spacing w:before="0" w:after="140"/>
        <w:rPr/>
      </w:pPr>
      <w:r>
        <w:rPr/>
        <w:t>V grafu {synchronizace} je vidět výsledek vynásobení ip(t) a qp(t) synchronními harmonickými průběhy (horní). Výstup tohoto násobení byly nazván jako Data s indexem příslušné větve. Pro detekci synchronizace DLL bylo využito průměrné hodnoty součtu obou větví z intervalu N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. Průběh průměrných hodnot je vidět v dolní části. Pokud hodnota lockdetect překročí treshold úroveň je vygenerován signál DLL_lock. V opačném případě je vygenerován signál DLL_not_locked</w:t>
      </w:r>
    </w:p>
    <w:p>
      <w:pPr>
        <w:pStyle w:val="Tlotextu"/>
        <w:spacing w:before="0" w:after="1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lock</m:t>
        </m:r>
        <m:r>
          <w:rPr>
            <w:rFonts w:ascii="Cambria Math" w:hAnsi="Cambria Math"/>
          </w:rPr>
          <m:t xml:space="preserve">detect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sign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data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data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Q</m:t>
                    </m:r>
                  </m:sub>
                </m:sSub>
              </m:e>
            </m:d>
          </m:e>
        </m:nary>
      </m:oMath>
    </w:p>
    <w:p>
      <w:pPr>
        <w:pStyle w:val="Tlotextu"/>
        <w:spacing w:before="0" w:after="14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0275" cy="3254375"/>
            <wp:effectExtent l="0" t="0" r="0" b="0"/>
            <wp:wrapTopAndBottom/>
            <wp:docPr id="5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raf {synchronizace}</w:t>
      </w:r>
    </w:p>
    <w:p>
      <w:pPr>
        <w:pStyle w:val="Tlotextu"/>
        <w:spacing w:before="0" w:after="140"/>
        <w:rPr/>
      </w:pPr>
      <w:r>
        <w:rPr/>
        <w:t>Na grafu {spektra} je zachyceno smrštění (despreading) spektra zpracovávaného signálu (horní graf) při korelaci se synchronní replikou PRN kódu (dolní graf). Prostřední graf je výsledek korelace zpracovávaného signálu s nesynchroní replikou. V tomto případě došlo k potlačení oproti původnímu signálu.</w:t>
      </w:r>
    </w:p>
    <w:p>
      <w:pPr>
        <w:pStyle w:val="Tlotextu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-230505</wp:posOffset>
            </wp:positionH>
            <wp:positionV relativeFrom="paragraph">
              <wp:posOffset>-107950</wp:posOffset>
            </wp:positionV>
            <wp:extent cx="4660900" cy="5435600"/>
            <wp:effectExtent l="0" t="0" r="0" b="0"/>
            <wp:wrapTopAndBottom/>
            <wp:docPr id="6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lotextu"/>
        <w:spacing w:before="0" w:after="140"/>
        <w:rPr/>
      </w:pPr>
      <w:r>
        <w:rPr/>
        <w:t xml:space="preserve">graf </w:t>
      </w:r>
      <w:bookmarkStart w:id="2" w:name="__DdeLink__125_1574878282"/>
      <w:bookmarkEnd w:id="2"/>
      <w:r>
        <w:rPr/>
        <w:t>{spektra}</w:t>
      </w:r>
    </w:p>
    <w:p>
      <w:pPr>
        <w:pStyle w:val="Tlotextu"/>
        <w:spacing w:before="0" w:after="140"/>
        <w:rPr/>
      </w:pPr>
      <w:r>
        <w:rPr/>
        <w:t xml:space="preserve">Po zpracování načtené sumy dat oběma sekvencemi jsou vypočítány rozdíly </w:t>
      </w:r>
      <w:r>
        <w:rPr/>
        <w:t>aktuálního</w:t>
      </w:r>
      <w:r>
        <w:rPr/>
        <w:t xml:space="preserve"> vzájemného posunutí kódů  </w:t>
      </w:r>
      <w:r>
        <w:rPr>
          <w:rFonts w:eastAsia="Noto Sans CJK SC Regular" w:cs="FreeSans"/>
          <w:i/>
          <w:iCs/>
        </w:rPr>
        <w:t>Δτ</w:t>
      </w:r>
      <w:r>
        <w:rPr>
          <w:rFonts w:eastAsia="Noto Sans CJK SC Regular" w:cs="FreeSans"/>
          <w:i/>
          <w:iCs/>
        </w:rPr>
        <w:t>(i)</w:t>
      </w:r>
      <w:r>
        <w:rPr>
          <w:rFonts w:eastAsia="Noto Sans CJK SC Regular" w:cs="FreeSans"/>
        </w:rPr>
        <w:t xml:space="preserve"> z uložených </w:t>
      </w:r>
      <w:r>
        <w:rPr>
          <w:rFonts w:eastAsia="Noto Sans CJK SC Regular" w:cs="FreeSans"/>
        </w:rPr>
        <w:t>hodnot</w:t>
      </w:r>
      <w:r>
        <w:rPr>
          <w:rFonts w:eastAsia="Noto Sans CJK SC Regular" w:cs="FreeSans"/>
        </w:rPr>
        <w:t xml:space="preserve"> </w:t>
      </w:r>
      <w:r>
        <w:rPr>
          <w:rFonts w:eastAsia="Noto Sans CJK SC Regular" w:cs="FreeSans"/>
          <w:i/>
          <w:iCs/>
        </w:rPr>
        <w:t>τ</w:t>
      </w:r>
      <w:r>
        <w:rPr>
          <w:rFonts w:eastAsia="Noto Sans CJK SC Regular" w:cs="FreeSans"/>
          <w:i/>
          <w:iCs/>
          <w:vertAlign w:val="subscript"/>
        </w:rPr>
        <w:t>gold_number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(i)</w:t>
      </w:r>
      <w:r>
        <w:rPr>
          <w:rFonts w:eastAsia="Noto Sans CJK SC Regular" w:cs="FreeSans"/>
        </w:rPr>
        <w:t xml:space="preserve">. Z těchto hodnot se aktualizuje průměrná hodnota </w:t>
      </w:r>
      <w:bookmarkStart w:id="3" w:name="__DdeLink__214_17339793"/>
      <w:r>
        <w:rPr>
          <w:rFonts w:eastAsia="Noto Sans CJK SC Regular" w:cs="FreeSans"/>
          <w:i/>
          <w:iCs/>
        </w:rPr>
        <w:t>Δτ</w:t>
      </w:r>
      <w:bookmarkEnd w:id="3"/>
      <w:r>
        <w:rPr>
          <w:rFonts w:eastAsia="Noto Sans CJK SC Regular" w:cs="FreeSans"/>
          <w:i/>
          <w:iCs/>
          <w:vertAlign w:val="subscript"/>
        </w:rPr>
        <w:t>out</w:t>
      </w:r>
      <w:r>
        <w:rPr>
          <w:rFonts w:eastAsia="Noto Sans CJK SC Regular" w:cs="FreeSans"/>
          <w:i w:val="false"/>
          <w:iCs w:val="false"/>
        </w:rPr>
        <w:t xml:space="preserve"> se zvoleným opakovacím kmitočtem </w:t>
      </w:r>
      <w:r>
        <w:rPr>
          <w:rFonts w:eastAsia="Noto Sans CJK SC Regular" w:cs="FreeSans"/>
          <w:i/>
          <w:iCs/>
        </w:rPr>
        <w:t>f</w:t>
      </w:r>
      <w:r>
        <w:rPr>
          <w:rFonts w:eastAsia="Noto Sans CJK SC Regular" w:cs="FreeSans"/>
          <w:i/>
          <w:iCs/>
          <w:vertAlign w:val="subscript"/>
        </w:rPr>
        <w:t>τ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.</w:t>
      </w:r>
      <w:r>
        <w:rPr>
          <w:rFonts w:eastAsia="Noto Sans CJK SC Regular" w:cs="FreeSans"/>
          <w:i w:val="false"/>
          <w:iCs w:val="false"/>
          <w:position w:val="0"/>
          <w:sz w:val="24"/>
          <w:sz w:val="24"/>
          <w:vertAlign w:val="baseline"/>
        </w:rPr>
        <w:t xml:space="preserve"> Vzhleden k absenci paralelizace je toto prováděno až po zpracování signálu  signal processing algoritmem pro 2. kód.</w:t>
      </w:r>
    </w:p>
    <w:p>
      <w:pPr>
        <w:pStyle w:val="Tlotextu"/>
        <w:spacing w:before="0" w:after="1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Δτ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τ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vz</m:t>
                </m:r>
              </m:sub>
            </m:sSub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vz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τ</m:t>
                    </m:r>
                  </m:sub>
                </m:sSub>
              </m:den>
            </m:f>
          </m:sup>
          <m:e>
            <m:r>
              <w:rPr>
                <w:rFonts w:ascii="Cambria Math" w:hAnsi="Cambria Math"/>
              </w:rPr>
              <m:t xml:space="preserve">Δτ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</m:nary>
      </m:oMath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vz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τ</m:t>
                </m:r>
              </m:sub>
            </m:sSub>
          </m:den>
        </m:f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ℤ</m:t>
        </m:r>
      </m:oMath>
    </w:p>
    <w:p>
      <w:pPr>
        <w:pStyle w:val="Tlotextu"/>
        <w:spacing w:before="0" w:after="140"/>
        <w:rPr/>
      </w:pPr>
      <w:r>
        <w:rPr>
          <w:rFonts w:eastAsia="Noto Sans CJK SC Regular" w:cs="FreeSans"/>
          <w:i w:val="false"/>
          <w:iCs w:val="false"/>
          <w:position w:val="0"/>
          <w:sz w:val="24"/>
          <w:sz w:val="24"/>
          <w:vertAlign w:val="baseline"/>
        </w:rPr>
        <w:t xml:space="preserve">Zmenšováním frekvence aktualizací 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f</w:t>
      </w:r>
      <w:r>
        <w:rPr>
          <w:rFonts w:eastAsia="Noto Sans CJK SC Regular" w:cs="FreeSans"/>
          <w:i/>
          <w:iCs/>
          <w:sz w:val="24"/>
          <w:vertAlign w:val="subscript"/>
        </w:rPr>
        <w:t>τ</w:t>
      </w:r>
      <w:r>
        <w:rPr>
          <w:rFonts w:eastAsia="Noto Sans CJK SC Regular" w:cs="FreeSans"/>
          <w:i w:val="false"/>
          <w:iCs w:val="false"/>
          <w:position w:val="0"/>
          <w:sz w:val="24"/>
          <w:sz w:val="24"/>
          <w:vertAlign w:val="baseline"/>
        </w:rPr>
        <w:t xml:space="preserve"> se zvětší přesnost měření 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Δτ,</w:t>
      </w:r>
      <w:r>
        <w:rPr>
          <w:rFonts w:eastAsia="Noto Sans CJK SC Regular" w:cs="FreeSans"/>
          <w:i w:val="false"/>
          <w:iCs w:val="false"/>
          <w:position w:val="0"/>
          <w:sz w:val="24"/>
          <w:sz w:val="24"/>
          <w:vertAlign w:val="baseline"/>
        </w:rPr>
        <w:t xml:space="preserve"> ale pouze pro nepohybující se objekt. Pokud by byla měřena poloha pohybujícího se objektu je třeba zvýšit frekvenci aktualizací  čímž vzroste chyba v určení  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Δτ</w:t>
      </w:r>
      <w:r>
        <w:rPr>
          <w:rFonts w:eastAsia="Noto Sans CJK SC Regular" w:cs="FreeSans"/>
          <w:i/>
          <w:iCs/>
          <w:sz w:val="24"/>
          <w:vertAlign w:val="subscript"/>
        </w:rPr>
        <w:t>out</w:t>
      </w:r>
      <w:r>
        <w:rPr>
          <w:rFonts w:eastAsia="Noto Sans CJK SC Regular" w:cs="FreeSans"/>
          <w:i/>
          <w:iCs/>
          <w:position w:val="0"/>
          <w:sz w:val="24"/>
          <w:sz w:val="24"/>
          <w:vertAlign w:val="baseline"/>
        </w:rPr>
        <w:t>.</w:t>
      </w:r>
      <w:r>
        <w:rPr>
          <w:rFonts w:eastAsia="Noto Sans CJK SC Regular" w:cs="FreeSans"/>
          <w:i w:val="false"/>
          <w:iCs w:val="false"/>
          <w:position w:val="0"/>
          <w:sz w:val="24"/>
          <w:sz w:val="24"/>
          <w:vertAlign w:val="baseline"/>
        </w:rPr>
        <w:t xml:space="preserve"> Mohou být vykresleny i grafy průběhů ze zaznamenaných dat zájmových částí algoritmu. Může následovat vyčtení nových dat ze souboru a cyklické opakování. Při real-time zpracování by byla data průběžně načítána z FIFO (first in first out) bufferu vloženého mezi RTL-SDR a signal processing algoritmus.</w:t>
      </w:r>
    </w:p>
    <w:p>
      <w:pPr>
        <w:pStyle w:val="Tlotextu"/>
        <w:spacing w:before="0" w:after="140"/>
        <w:rPr/>
      </w:pPr>
      <w:r>
        <w:rPr/>
        <w:t>Použité signály byly generovány pomocí arbitrary wave form generátoru (AWG) Keysight 33622A. Jednotlivé kanály generátoru reprezentují jednotlivé pozemní vysílače systému TDOA (Time diference of arrival). Signály se skládaly z nosného kmitočtu 60 Mhz na němž byl pomocí BPSK  nepřetržitě modulovaný goldův kód.</w:t>
      </w:r>
      <w:r>
        <w:rPr>
          <w:rFonts w:eastAsia="Noto Sans CJK SC Regular" w:cs="FreeSans"/>
        </w:rPr>
        <w:t xml:space="preserve"> </w:t>
      </w:r>
      <w:r>
        <w:rPr/>
        <w:t xml:space="preserve">Použité PRN kódy dlouhé 1023 chipů a každý kanál vysílal svůj vlastní kód. Chipová frekvence goldových kódů byla zvolena 200 khz. Každý kanál používal vlastní kód. Oba signály byly následně sloučeny slučovačem R&amp;S DVS 342.1014.50 a přivedeny na vysokofrekvenční vstup přijímače RTL-SDR. Vzorkovací kmitočet RTL-SDR byl nastaven na 2 MHz. Z důvodu omezené výpočetní kapacity bylo pro urychlení synchronizace kódů využito funkce  </w:t>
      </w:r>
      <w:r>
        <w:rPr>
          <w:i/>
          <w:iCs/>
        </w:rPr>
        <w:t>burst</w:t>
      </w:r>
      <w:r>
        <w:rPr>
          <w:i w:val="false"/>
          <w:iCs w:val="false"/>
        </w:rPr>
        <w:t xml:space="preserve"> v generátoru na obou kanálech</w:t>
      </w:r>
      <w:r>
        <w:rPr>
          <w:i/>
          <w:iCs/>
        </w:rPr>
        <w:t>.</w:t>
      </w:r>
      <w:r>
        <w:rPr/>
        <w:t xml:space="preserve"> Takto lze generovat sekvence z obou kanálů synchronně po přivedení </w:t>
      </w:r>
      <w:r>
        <w:rPr>
          <w:i/>
          <w:iCs/>
        </w:rPr>
        <w:t>trigger</w:t>
      </w:r>
      <w:r>
        <w:rPr/>
        <w:t xml:space="preserve"> impulsu, nebo s nastavitelným zpožděním pro každý kanál. Ukládání vzorků bylo spuštěno s drobným předstihem před trigger impulsem. Úsek od začátku vzorkování do začátku signálu byl odstraněn a zpracovávány byly vzorky od začátku signálu dále. Při testování synchronizace generovaných replik byl stejný vstupní soubor a posouvány byly počátky generovaných replik. Smyčka DLL je schopná synchronizovat repliku zpožděnou o délku chipu nebo předbíhající o ½ chipu proti přijatému signálu. Pokud je posuv větší a stav DLL_locked není vygenerován po průchodu 100 chipů je replika zpožděna o délku chipu. </w:t>
      </w:r>
    </w:p>
    <w:p>
      <w:pPr>
        <w:pStyle w:val="Tlotextu"/>
        <w:spacing w:before="0" w:after="140"/>
        <w:rPr/>
      </w:pPr>
      <w:r>
        <w:rPr/>
        <w:t xml:space="preserve"> </w:t>
      </w:r>
      <w:r>
        <w:rPr/>
        <w:t xml:space="preserve">Rozdílná vzdálenost od vysílačů byla simulována nastavením zpoždění mezi </w:t>
      </w:r>
      <w:r>
        <w:rPr>
          <w:i/>
          <w:iCs/>
        </w:rPr>
        <w:t>trigger</w:t>
      </w:r>
      <w:r>
        <w:rPr/>
        <w:t xml:space="preserve"> impulsem a  generováním sekvence u jednoho z kanálů.</w:t>
      </w:r>
    </w:p>
    <w:p>
      <w:pPr>
        <w:pStyle w:val="Tlotextu"/>
        <w:spacing w:before="0" w:after="140"/>
        <w:rPr/>
      </w:pPr>
      <w:r>
        <w:rPr/>
        <w:t>Byla provedena měření pro rozestupy generovaných replik ½, 1/5 a 1/10 chipu. Větší rozestupy mezi generovanými replikami by měly zajistit rychlejší synchronizaci s přijímaným signálem s menší přesností sledování kódu. Menší rozestupy by měli naopak zajistit přesnější sledování kódu, při větší dynamice signálu však může snáze dojít ke ztrátě synchronizace. Měření pro rozestupy ½ chipu jsou v tabulce 1. Průměrné hodnoty chyb pro měřené rozestupy jsou v tabulce 2.</w:t>
      </w:r>
    </w:p>
    <w:p>
      <w:pPr>
        <w:pStyle w:val="Tlotextu"/>
        <w:spacing w:before="0" w:after="140"/>
        <w:rPr/>
      </w:pPr>
      <w:r>
        <w:rPr/>
        <w:object>
          <v:shape id="ole_rId8" style="width:192pt;height:332.8pt" o:ole="">
            <v:imagedata r:id="rId9" o:title=""/>
          </v:shape>
          <o:OLEObject Type="Embed" ProgID="Excel.Sheet.12" ShapeID="ole_rId8" DrawAspect="Content" ObjectID="_724370931" r:id="rId8"/>
        </w:object>
      </w:r>
      <w:r>
        <w:rPr/>
        <w:t>tabulka1</w:t>
      </w:r>
    </w:p>
    <w:p>
      <w:pPr>
        <w:pStyle w:val="Tlotextu"/>
        <w:spacing w:before="0" w:after="140"/>
        <w:rPr/>
      </w:pPr>
      <w:r>
        <w:rPr/>
        <w:object>
          <v:shape id="ole_rId10" style="width:264.75pt;height:24.55pt" o:ole="">
            <v:imagedata r:id="rId11" o:title=""/>
          </v:shape>
          <o:OLEObject Type="Embed" ProgID="Excel.Sheet.12" ShapeID="ole_rId10" DrawAspect="Content" ObjectID="_207418607" r:id="rId10"/>
        </w:object>
      </w:r>
      <w:r>
        <w:rPr/>
        <w:t>tabulka 2</w:t>
      </w:r>
    </w:p>
    <w:p>
      <w:pPr>
        <w:pStyle w:val="Tlotextu"/>
        <w:spacing w:before="0" w:after="140"/>
        <w:rPr/>
      </w:pPr>
      <w:r>
        <w:rPr/>
        <w:t>A Software-Defined GPS and Galileo Receiver:</w:t>
      </w:r>
    </w:p>
    <w:p>
      <w:pPr>
        <w:pStyle w:val="Tlotextu"/>
        <w:spacing w:before="0" w:after="140"/>
        <w:rPr/>
      </w:pPr>
      <w:r>
        <w:rPr/>
        <w:t>str 93</w:t>
      </w:r>
    </w:p>
    <w:p>
      <w:pPr>
        <w:pStyle w:val="Tlotextu"/>
        <w:spacing w:before="0" w:after="140"/>
        <w:rPr/>
      </w:pPr>
      <w:bookmarkStart w:id="4" w:name="__DdeLink__494_23571360"/>
      <w:r>
        <w:rPr/>
        <w:t xml:space="preserve">str </w:t>
      </w:r>
      <w:bookmarkEnd w:id="4"/>
      <w:r>
        <w:rPr/>
        <w:t>111 -113 pll</w:t>
      </w:r>
    </w:p>
    <w:p>
      <w:pPr>
        <w:pStyle w:val="Tlotextu"/>
        <w:spacing w:before="0" w:after="140"/>
        <w:rPr/>
      </w:pPr>
      <w:r>
        <w:rPr/>
        <w:t>str 113 - 116 dll</w:t>
      </w:r>
    </w:p>
    <w:p>
      <w:pPr>
        <w:pStyle w:val="Tlotextu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cs-CZ" w:eastAsia="zh-CN" w:bidi="hi-IN"/>
    </w:rPr>
  </w:style>
  <w:style w:type="paragraph" w:styleId="Nadpis1">
    <w:name w:val="Heading 1"/>
    <w:basedOn w:val="Nadpis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  <w:jc w:val="both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Nzev">
    <w:name w:val="Title"/>
    <w:basedOn w:val="Nadpis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package" Target="embeddings/oleObject1.xlsx"/><Relationship Id="rId9" Type="http://schemas.openxmlformats.org/officeDocument/2006/relationships/image" Target="media/image7.emf"/><Relationship Id="rId10" Type="http://schemas.openxmlformats.org/officeDocument/2006/relationships/package" Target="embeddings/oleObject2.xlsx"/><Relationship Id="rId11" Type="http://schemas.openxmlformats.org/officeDocument/2006/relationships/image" Target="media/image8.e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3576</TotalTime>
  <Application>LibreOffice/5.2.2.2$Linux_X86_64 LibreOffice_project/20m0$Build-2</Application>
  <Pages>8</Pages>
  <Words>1546</Words>
  <Characters>9150</Characters>
  <CharactersWithSpaces>10666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2017-01-26T19:29:56Z</dcterms:created>
  <dc:creator/>
  <dc:description/>
  <dc:language>cs-CZ</dc:language>
  <cp:lastModifiedBy/>
  <dcterms:modified xsi:type="dcterms:W3CDTF">2017-02-12T19:34:52Z</dcterms:modified>
  <cp:revision>386</cp:revision>
  <dc:subject/>
  <dc:title/>
</cp:coreProperties>
</file>