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67E73122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Bienvenidos a la actividad de </w:t>
      </w:r>
      <w:r w:rsidR="00B81796">
        <w:rPr>
          <w:rFonts w:cstheme="minorHAnsi"/>
          <w:lang w:val="es-VE"/>
        </w:rPr>
        <w:t>potencia de la corriente</w:t>
      </w:r>
      <w:r>
        <w:rPr>
          <w:rFonts w:cstheme="minorHAnsi"/>
          <w:lang w:val="es-VE"/>
        </w:rPr>
        <w:t xml:space="preserve">, en esta actividad aprenderemos </w:t>
      </w:r>
      <w:r w:rsidR="00B81796">
        <w:rPr>
          <w:rFonts w:cstheme="minorHAnsi"/>
          <w:lang w:val="es-VE"/>
        </w:rPr>
        <w:t>qué es la potencia de la corriente y cómo se relaciona con el transporte de sedimentos.</w:t>
      </w:r>
    </w:p>
    <w:p w14:paraId="1162BB9B" w14:textId="2B54D0F3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6FE0CDD2" w14:textId="786BC682" w:rsidR="00B81796" w:rsidRDefault="00B81796" w:rsidP="00626CCF">
      <w:pPr>
        <w:rPr>
          <w:rFonts w:cstheme="minorHAnsi"/>
          <w:lang w:val="es-VE"/>
        </w:rPr>
      </w:pPr>
      <w:r w:rsidRPr="00B81796">
        <w:rPr>
          <w:rFonts w:cstheme="minorHAnsi"/>
          <w:lang w:val="es-VE"/>
        </w:rPr>
        <w:t>La potencia de la corriente se define como la energía disponible por unidad de área</w:t>
      </w:r>
      <w:r>
        <w:rPr>
          <w:rFonts w:cstheme="minorHAnsi"/>
          <w:lang w:val="es-VE"/>
        </w:rPr>
        <w:t>. Se calcula como P=Peso específico x profundidad de la lámina de agua x la pendiente media del fondo del lecho x la velocidad media de la corriente.</w:t>
      </w:r>
    </w:p>
    <w:p w14:paraId="7D31BEA5" w14:textId="589DF46F" w:rsidR="00B81796" w:rsidRPr="00B81796" w:rsidRDefault="00B81796" w:rsidP="00626CCF">
      <w:pPr>
        <w:rPr>
          <w:rFonts w:cstheme="minorHAnsi"/>
          <w:lang w:val="es-VE"/>
        </w:rPr>
      </w:pPr>
      <w:r w:rsidRPr="00B81796">
        <w:rPr>
          <w:rFonts w:cstheme="minorHAnsi"/>
          <w:lang w:val="es-VE"/>
        </w:rPr>
        <w:t>La capacidad de arrastre está directamente relacionada con la potencia de la corriente</w:t>
      </w:r>
      <w:r>
        <w:rPr>
          <w:rFonts w:cstheme="minorHAnsi"/>
          <w:lang w:val="es-VE"/>
        </w:rPr>
        <w:t xml:space="preserve">, es decir, la velocidad del flujo y la pendiente del lecho. </w:t>
      </w:r>
      <w:r w:rsidRPr="00B81796">
        <w:rPr>
          <w:rFonts w:cstheme="minorHAnsi"/>
          <w:lang w:val="es-VE"/>
        </w:rPr>
        <w:t>La experiencia muestra que es posible estimar el transporte por arrastre en función de variables como el caudal, la velocidad o la pendiente media del lecho</w:t>
      </w:r>
      <w:r>
        <w:rPr>
          <w:rFonts w:cstheme="minorHAnsi"/>
          <w:lang w:val="es-VE"/>
        </w:rPr>
        <w:t>.</w:t>
      </w:r>
    </w:p>
    <w:p w14:paraId="34B427F6" w14:textId="3EB71C58" w:rsidR="000C5E46" w:rsidRDefault="000C5E46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7E401D3D" w14:textId="010E7202" w:rsidR="000C5E46" w:rsidRPr="00851EA8" w:rsidRDefault="00A14EEB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Por otro lado, se tiene el concepto de competencia de la corriente, que no debe confundirse con la potencia de la corriente. Se denomina competencia de</w:t>
      </w:r>
      <w:r w:rsidRPr="00A14EEB">
        <w:rPr>
          <w:rFonts w:cstheme="minorHAnsi"/>
          <w:lang w:val="es-VE"/>
        </w:rPr>
        <w:t xml:space="preserve"> la corriente al tamaño de la partícula más grande que una corriente puede mover bajo un conjunto dado de condiciones hidráulicas</w:t>
      </w: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95CA0"/>
    <w:rsid w:val="0025292E"/>
    <w:rsid w:val="002A05F2"/>
    <w:rsid w:val="004275FD"/>
    <w:rsid w:val="004E66DD"/>
    <w:rsid w:val="00626CCF"/>
    <w:rsid w:val="006A74CA"/>
    <w:rsid w:val="0081371D"/>
    <w:rsid w:val="00851EA8"/>
    <w:rsid w:val="00973346"/>
    <w:rsid w:val="00A14EEB"/>
    <w:rsid w:val="00B81796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9</cp:revision>
  <dcterms:created xsi:type="dcterms:W3CDTF">2022-08-10T14:10:00Z</dcterms:created>
  <dcterms:modified xsi:type="dcterms:W3CDTF">2023-01-16T14:32:00Z</dcterms:modified>
</cp:coreProperties>
</file>