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</w:rPr>
        <w:t>Задание №8: Причины раскола экономического пространства Российской империи, неустойчивости экономического роста и их влияние на революционную ситуацию</w:t>
      </w:r>
    </w:p>
    <w:p>
      <w:pPr>
        <w:pStyle w:val="Style15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Экономическое пространство Российской империи в начале XX века было отмечено сильными диспропорциями, неравномерным развитием и зависимостью от внешних факторов. Экономический рост конца XIX – начала XX века оказался нестабильным, что стало одной из причин политической нестабильности и революционных потрясений. Рассмотрим причины раскола экономического пространства, катализаторы экономического кризиса и влияние урбанизации и транспортной инфраструктуры на революционную ситуацию.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Причины раскола экономического пространства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1.1. </w:t>
      </w:r>
      <w:r>
        <w:rPr>
          <w:rStyle w:val="Strong"/>
          <w:rFonts w:ascii="Times New Roman" w:hAnsi="Times New Roman"/>
          <w:b/>
          <w:bCs/>
        </w:rPr>
        <w:t>Неравномерное экономическое развитие регионов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Запад и центральные регионы</w:t>
      </w:r>
      <w:r>
        <w:rPr>
          <w:rFonts w:ascii="Times New Roman" w:hAnsi="Times New Roman"/>
        </w:rPr>
        <w:t xml:space="preserve"> были более промышленно развитыми, благодаря близости к европейским рынкам и железнодорожной инфраструктуре.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Азиатские и южные регионы</w:t>
      </w:r>
      <w:r>
        <w:rPr>
          <w:rFonts w:ascii="Times New Roman" w:hAnsi="Times New Roman"/>
        </w:rPr>
        <w:t xml:space="preserve"> оставались преимущественно аграрными, с низким уровнем урбанизации и слабой интеграцией в общенациональную экономику.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Традиционное крестьянское хозяйство преобладало на большей части территории, что создавало разрыв между быстро растущими промышленными центрами и аграрной периферией.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1.2. </w:t>
      </w:r>
      <w:r>
        <w:rPr>
          <w:rStyle w:val="Strong"/>
          <w:rFonts w:ascii="Times New Roman" w:hAnsi="Times New Roman"/>
          <w:b/>
          <w:bCs/>
        </w:rPr>
        <w:t>Диспропорция между сельским хозяйством и промышленностью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Промышленность развивалась быстрыми темпами, но её рост обеспечивался за счёт налогового давления на крестьянство.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Аграрный сектор оставался неэффективным, что приводило к низкой покупательной способности большинства населения. Это ограничивало внутренний рынок и усиливало зависимость от экспорта зерна.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1.3. </w:t>
      </w:r>
      <w:r>
        <w:rPr>
          <w:rStyle w:val="Strong"/>
          <w:rFonts w:ascii="Times New Roman" w:hAnsi="Times New Roman"/>
          <w:b/>
          <w:bCs/>
        </w:rPr>
        <w:t>Зависимость от иностранных инвестиций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Промышленный рост финансировался за счёт внешних займов и инвестиций, что делало экономику уязвимой к мировым кризисам.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данным из источника "Финансирование индустриального развития России в 1900–1914 годах", значительная часть капиталовложений поступала из Франции, Великобритании и Германии, а их отток в период кризисов усиливал нестабильность.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Неустойчивость экономического роста и катализаторы кризиса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2.1. </w:t>
      </w:r>
      <w:r>
        <w:rPr>
          <w:rStyle w:val="Strong"/>
          <w:rFonts w:ascii="Times New Roman" w:hAnsi="Times New Roman"/>
          <w:b/>
          <w:bCs/>
        </w:rPr>
        <w:t>Мировой экономический кризис 1900–1903 годов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Снижение цен на зерно на мировых рынках ударило по российской экономике, сильно зависящей от экспорта.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Промышленные предприятия столкнулись с сокращением спроса, что привело к массовым увольнениям и банкротствам.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2.2. </w:t>
      </w:r>
      <w:r>
        <w:rPr>
          <w:rStyle w:val="Strong"/>
          <w:rFonts w:ascii="Times New Roman" w:hAnsi="Times New Roman"/>
          <w:b/>
          <w:bCs/>
        </w:rPr>
        <w:t>Русско-японская война (1904–1905)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Огромные военные расходы усилили бюджетный дефицит.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Потери на Дальнем Востоке усугубили внутренние экономические проблемы, особенно в промышленных регионах, связанных с поставками для армии.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2.3. </w:t>
      </w:r>
      <w:r>
        <w:rPr>
          <w:rStyle w:val="Strong"/>
          <w:rFonts w:ascii="Times New Roman" w:hAnsi="Times New Roman"/>
          <w:b/>
          <w:bCs/>
        </w:rPr>
        <w:t>Социальное давление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Рост численности пролетариата в крупных городах при слабой социальной защите привёл к ухудшению условий труда и жизни рабочих.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отчёта "Хвосты революции" следует, что недовольство рабочих стало важным фактором революционной активности.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Влияние урбанизации и транспортной инфраструктуры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3.1. </w:t>
      </w:r>
      <w:r>
        <w:rPr>
          <w:rStyle w:val="Strong"/>
          <w:rFonts w:ascii="Times New Roman" w:hAnsi="Times New Roman"/>
          <w:b/>
          <w:bCs/>
        </w:rPr>
        <w:t>Урбанизация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XX века в Российской империи наблюдался ускоренный рост городов: увеличивалось число фабрик и заводов, привлекавших сельских жителей.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Урбанизация усилила социальное расслоение: мигранты из деревень оказывались в бедственном положении в городах, что формировало основу для революционного движения.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3.2. </w:t>
      </w:r>
      <w:r>
        <w:rPr>
          <w:rStyle w:val="Strong"/>
          <w:rFonts w:ascii="Times New Roman" w:hAnsi="Times New Roman"/>
          <w:b/>
          <w:bCs/>
        </w:rPr>
        <w:t>Транспортная инфраструктура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Развитие железных дорог способствовало интеграции регионов в экономическое пространство, но одновременно усиливало социальные противоречия.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Перевозка зерна на экспорт и военных грузов получала приоритет перед нуждами внутреннего рынка.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Железные дороги способствовали быстрому распространению революционных идей, объединяя протестные группы в различных регионах.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4. Экономика как катализатор революционной ситуации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4.1. </w:t>
      </w:r>
      <w:r>
        <w:rPr>
          <w:rStyle w:val="Strong"/>
          <w:rFonts w:ascii="Times New Roman" w:hAnsi="Times New Roman"/>
          <w:b/>
          <w:bCs/>
        </w:rPr>
        <w:t>Рост классового сознания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Экономические трудности, усиленные урбанизацией и неравномерным развитием, способствовали формированию пролетарского сознания.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Массовые увольнения, низкие зарплаты и плохие условия труда в промышленности вызывали забастовки и протесты.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4.2. </w:t>
      </w:r>
      <w:r>
        <w:rPr>
          <w:rStyle w:val="Strong"/>
          <w:rFonts w:ascii="Times New Roman" w:hAnsi="Times New Roman"/>
          <w:b/>
          <w:bCs/>
        </w:rPr>
        <w:t>Недовольство крестьянства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Низкая эффективность аграрной системы и рост налогового давления на крестьян создали широкую базу для аграрных бунтов.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Крестьяне, приезжавшие в города, часто становились частью пролетариата и участвовали в революционной борьбе.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4.3. </w:t>
      </w:r>
      <w:r>
        <w:rPr>
          <w:rStyle w:val="Strong"/>
          <w:rFonts w:ascii="Times New Roman" w:hAnsi="Times New Roman"/>
          <w:b/>
          <w:bCs/>
        </w:rPr>
        <w:t>Слабость экономической политики государства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Отсутствие комплексных реформ в аграрной сфере и преобладание интересов элитных групп мешали устранению структурных проблем экономики.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Попытки стабилизации за счёт увеличения налогового бремени на крестьянство только усугубляли напряжённость.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Экономическое пространство Российской империи в начале XX века было расколото неравномерностью регионального развития, диспропорциями между аграрным и промышленным секторами и зависимостью от внешних рынков. Неустойчивость экономического роста усугублялась мировыми кризисами, войнами и социальными проблемами. Урбанизация и развитие транспортной инфраструктуры ускорили революционную ситуацию, распространив протестные настроения и объединив различные социальные группы. Эти процессы заложили основу для крупных политических и социальных потрясений в 1905–1917 годах.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3</Pages>
  <Words>610</Words>
  <Characters>4428</Characters>
  <CharactersWithSpaces>4993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2024-12-05T11:37:49Z</dcterms:created>
  <dc:creator/>
  <dc:description/>
  <dc:language>en-US</dc:language>
  <cp:lastModifiedBy/>
  <dcterms:modified xsi:type="dcterms:W3CDTF">2024-12-09T09:03:30Z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