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E9BD03" w14:textId="77777777" w:rsidR="00790C6C" w:rsidRPr="00C5639E" w:rsidRDefault="00000000" w:rsidP="00031E5E">
      <w:pPr>
        <w:spacing w:after="120" w:line="276" w:lineRule="auto"/>
        <w:jc w:val="center"/>
        <w:rPr>
          <w:lang w:val="en-US"/>
        </w:rPr>
      </w:pPr>
      <w:r w:rsidRPr="00C5639E">
        <w:rPr>
          <w:b/>
          <w:bCs/>
          <w:sz w:val="40"/>
          <w:szCs w:val="40"/>
          <w:lang w:val="en-US"/>
        </w:rPr>
        <w:t>Data and Variable Construction</w:t>
      </w:r>
    </w:p>
    <w:p w14:paraId="3A05128D" w14:textId="77777777" w:rsidR="00790C6C" w:rsidRPr="00C5639E" w:rsidRDefault="00000000" w:rsidP="00031E5E">
      <w:pPr>
        <w:spacing w:after="240" w:line="276" w:lineRule="auto"/>
        <w:jc w:val="center"/>
        <w:rPr>
          <w:lang w:val="en-US"/>
        </w:rPr>
      </w:pPr>
      <w:r w:rsidRPr="00C5639E">
        <w:rPr>
          <w:i/>
          <w:iCs/>
          <w:color w:val="595959"/>
          <w:sz w:val="24"/>
          <w:szCs w:val="24"/>
          <w:lang w:val="en-US"/>
        </w:rPr>
        <w:t>External Citizenship and Political Response in Argentina</w:t>
      </w:r>
    </w:p>
    <w:p w14:paraId="6FA58BCD" w14:textId="3CD3146B" w:rsidR="00790C6C" w:rsidRPr="00C5639E" w:rsidRDefault="00000000" w:rsidP="00031E5E">
      <w:pPr>
        <w:spacing w:before="60" w:after="60" w:line="276" w:lineRule="auto"/>
        <w:jc w:val="both"/>
        <w:rPr>
          <w:lang w:val="en-US"/>
        </w:rPr>
      </w:pPr>
      <w:r w:rsidRPr="00C5639E">
        <w:rPr>
          <w:lang w:val="en-US"/>
        </w:rPr>
        <w:t xml:space="preserve">This document describes the databases we combine in the paper, the construction of the treatment variables and outcomes, the source of each variable, and how the datasets are merged. </w:t>
      </w:r>
    </w:p>
    <w:p w14:paraId="3CF13CD8" w14:textId="77777777" w:rsidR="00790C6C" w:rsidRPr="00C5639E" w:rsidRDefault="00000000" w:rsidP="00031E5E">
      <w:pPr>
        <w:pStyle w:val="Ttulo1"/>
        <w:spacing w:before="240" w:after="120" w:line="276" w:lineRule="auto"/>
        <w:rPr>
          <w:lang w:val="en-US"/>
        </w:rPr>
      </w:pPr>
      <w:r w:rsidRPr="00C5639E">
        <w:rPr>
          <w:b/>
          <w:bCs/>
          <w:color w:val="1F4E79"/>
          <w:lang w:val="en-US"/>
        </w:rPr>
        <w:t>1. Data Sources</w:t>
      </w:r>
    </w:p>
    <w:p w14:paraId="0DB81099" w14:textId="77777777" w:rsidR="00790C6C" w:rsidRPr="00C5639E" w:rsidRDefault="00000000" w:rsidP="00031E5E">
      <w:pPr>
        <w:pStyle w:val="Ttulo2"/>
        <w:spacing w:before="200" w:after="80" w:line="276" w:lineRule="auto"/>
        <w:rPr>
          <w:lang w:val="en-US"/>
        </w:rPr>
      </w:pPr>
      <w:r w:rsidRPr="00C5639E">
        <w:rPr>
          <w:b/>
          <w:bCs/>
          <w:color w:val="2E75B6"/>
          <w:lang w:val="en-US"/>
        </w:rPr>
        <w:t>1.1 Argentine Population Census (IPUMS 1970, 1980, 2010)</w:t>
      </w:r>
    </w:p>
    <w:p w14:paraId="69618729" w14:textId="4D78D6FF" w:rsidR="00790C6C" w:rsidRPr="00C5639E" w:rsidRDefault="00000000" w:rsidP="00031E5E">
      <w:pPr>
        <w:spacing w:before="60" w:after="60" w:line="276" w:lineRule="auto"/>
        <w:jc w:val="both"/>
        <w:rPr>
          <w:lang w:val="en-US"/>
        </w:rPr>
      </w:pPr>
      <w:r w:rsidRPr="00C5639E">
        <w:rPr>
          <w:lang w:val="en-US"/>
        </w:rPr>
        <w:t>Argentine census microdata harmonized by IPUMS International, at the individual level. Provides information on country of birth, year of arrival in the country, current municipality, sex, age, education attained, employment status,</w:t>
      </w:r>
      <w:r w:rsidR="00C5639E">
        <w:rPr>
          <w:lang w:val="en-US"/>
        </w:rPr>
        <w:t xml:space="preserve"> etc</w:t>
      </w:r>
      <w:r w:rsidRPr="00C5639E">
        <w:rPr>
          <w:lang w:val="en-US"/>
        </w:rPr>
        <w:t>. Census sampling weights</w:t>
      </w:r>
      <w:r w:rsidR="000C3954">
        <w:rPr>
          <w:lang w:val="en-US"/>
        </w:rPr>
        <w:t xml:space="preserve"> </w:t>
      </w:r>
      <w:r w:rsidRPr="00C5639E">
        <w:rPr>
          <w:lang w:val="en-US"/>
        </w:rPr>
        <w:t>allow us to recover municipality-level aggregates.</w:t>
      </w:r>
    </w:p>
    <w:p w14:paraId="5D8B17F8" w14:textId="0B34191D" w:rsidR="00790C6C" w:rsidRPr="00C5639E" w:rsidRDefault="00585453" w:rsidP="00031E5E">
      <w:pPr>
        <w:spacing w:before="60" w:after="60" w:line="276" w:lineRule="auto"/>
        <w:jc w:val="both"/>
        <w:rPr>
          <w:lang w:val="en-US"/>
        </w:rPr>
      </w:pPr>
      <w:r>
        <w:rPr>
          <w:lang w:val="en-US"/>
        </w:rPr>
        <w:t>T</w:t>
      </w:r>
      <w:r w:rsidRPr="00C5639E">
        <w:rPr>
          <w:lang w:val="en-US"/>
        </w:rPr>
        <w:t>he 1970 census identifies Spanish immigrants who arrived between 1936-1955; the 1980 census identifies those who arrived between 1956-1978; the 2010 census provides pre-treatment municipal covariates (population density, education, age structure, employment, gender composition)</w:t>
      </w:r>
      <w:r>
        <w:rPr>
          <w:lang w:val="en-US"/>
        </w:rPr>
        <w:t xml:space="preserve"> for entropy balancing</w:t>
      </w:r>
      <w:r w:rsidRPr="00C5639E">
        <w:rPr>
          <w:lang w:val="en-US"/>
        </w:rPr>
        <w:t>.</w:t>
      </w:r>
    </w:p>
    <w:p w14:paraId="35B594B6" w14:textId="77777777" w:rsidR="00790C6C" w:rsidRPr="000C3954" w:rsidRDefault="00000000" w:rsidP="00031E5E">
      <w:pPr>
        <w:pStyle w:val="Ttulo2"/>
        <w:spacing w:before="200" w:after="80" w:line="276" w:lineRule="auto"/>
      </w:pPr>
      <w:r w:rsidRPr="000C3954">
        <w:rPr>
          <w:b/>
          <w:bCs/>
          <w:color w:val="2E75B6"/>
        </w:rPr>
        <w:t>1.2 Electoral Public Data — Camara Nacional Electoral</w:t>
      </w:r>
    </w:p>
    <w:p w14:paraId="1216D2CD" w14:textId="29441FB2" w:rsidR="00790C6C" w:rsidRPr="00C5639E" w:rsidRDefault="00000000" w:rsidP="00031E5E">
      <w:pPr>
        <w:spacing w:before="60" w:after="60" w:line="276" w:lineRule="auto"/>
        <w:jc w:val="both"/>
        <w:rPr>
          <w:lang w:val="en-US"/>
        </w:rPr>
      </w:pPr>
      <w:r w:rsidRPr="00C5639E">
        <w:rPr>
          <w:lang w:val="en-US"/>
        </w:rPr>
        <w:t>Detailed electoral results for national legislative elections (Chamber of Deputies) between 2011 and 2025. For each electoral section, the data include the total number of registered voters, votes cast, votes received by each political party, blank votes and null votes.</w:t>
      </w:r>
      <w:r w:rsidR="0011195D">
        <w:rPr>
          <w:lang w:val="en-US"/>
        </w:rPr>
        <w:t xml:space="preserve"> </w:t>
      </w:r>
      <w:r w:rsidR="0011195D" w:rsidRPr="0011195D">
        <w:rPr>
          <w:lang w:val="en-US"/>
        </w:rPr>
        <w:t>The original data are provided at the electoral-section level and are aggregated to the municipality level for the analysis. Electoral sections are smaller than municipalities</w:t>
      </w:r>
      <w:r w:rsidR="0060591B">
        <w:rPr>
          <w:lang w:val="en-US"/>
        </w:rPr>
        <w:t>.</w:t>
      </w:r>
    </w:p>
    <w:p w14:paraId="10A1BD4B" w14:textId="68B43637" w:rsidR="00790C6C" w:rsidRPr="00C5639E" w:rsidRDefault="000C3954" w:rsidP="00031E5E">
      <w:pPr>
        <w:spacing w:before="60" w:after="60" w:line="276" w:lineRule="auto"/>
        <w:jc w:val="both"/>
        <w:rPr>
          <w:lang w:val="en-US"/>
        </w:rPr>
      </w:pPr>
      <w:r w:rsidRPr="00FB40D8">
        <w:rPr>
          <w:b/>
          <w:bCs/>
          <w:lang w:val="en-US"/>
        </w:rPr>
        <w:t>Source:</w:t>
      </w:r>
      <w:r w:rsidRPr="000C3954">
        <w:rPr>
          <w:lang w:val="en-US"/>
        </w:rPr>
        <w:t xml:space="preserve"> The data were downloaded from </w:t>
      </w:r>
      <w:hyperlink r:id="rId8" w:history="1">
        <w:r w:rsidRPr="000C3954">
          <w:rPr>
            <w:rStyle w:val="Hipervnculo"/>
            <w:lang w:val="en-US"/>
          </w:rPr>
          <w:t>DataCP</w:t>
        </w:r>
      </w:hyperlink>
      <w:r w:rsidRPr="000C3954">
        <w:rPr>
          <w:lang w:val="en-US"/>
        </w:rPr>
        <w:t xml:space="preserve">, an open-access electoral data platform developed by the University of Buenos Aires. The platform provides free access to electoral results and includes the corresponding municipality-level shapefiles, allowing the electoral data to be spatially matched to municipal boundaries. DataCP compiles information from the National Electoral Directorate and the National Electoral Chamber, as well as APIs for the Chamber of Deputies and the Senate published on </w:t>
      </w:r>
      <w:hyperlink r:id="rId9" w:history="1">
        <w:r w:rsidRPr="000C3954">
          <w:rPr>
            <w:rStyle w:val="Hipervnculo"/>
            <w:lang w:val="en-US"/>
          </w:rPr>
          <w:t>Argentina Datos</w:t>
        </w:r>
      </w:hyperlink>
      <w:r>
        <w:rPr>
          <w:lang w:val="en-US"/>
        </w:rPr>
        <w:t>.</w:t>
      </w:r>
    </w:p>
    <w:p w14:paraId="4E01113F" w14:textId="70186222" w:rsidR="00790C6C" w:rsidRPr="00C5639E" w:rsidRDefault="00000000" w:rsidP="00031E5E">
      <w:pPr>
        <w:pStyle w:val="Ttulo2"/>
        <w:spacing w:before="200" w:after="80" w:line="276" w:lineRule="auto"/>
        <w:rPr>
          <w:lang w:val="en-US"/>
        </w:rPr>
      </w:pPr>
      <w:r w:rsidRPr="00C5639E">
        <w:rPr>
          <w:b/>
          <w:bCs/>
          <w:color w:val="2E75B6"/>
          <w:lang w:val="en-US"/>
        </w:rPr>
        <w:t>1.</w:t>
      </w:r>
      <w:r w:rsidR="00C5639E">
        <w:rPr>
          <w:b/>
          <w:bCs/>
          <w:color w:val="2E75B6"/>
          <w:lang w:val="en-US"/>
        </w:rPr>
        <w:t>3</w:t>
      </w:r>
      <w:r w:rsidRPr="00C5639E">
        <w:rPr>
          <w:b/>
          <w:bCs/>
          <w:color w:val="2E75B6"/>
          <w:lang w:val="en-US"/>
        </w:rPr>
        <w:t xml:space="preserve"> LAPOP AmericasBarometer</w:t>
      </w:r>
    </w:p>
    <w:p w14:paraId="19FF77CE" w14:textId="64132C2A" w:rsidR="00790C6C" w:rsidRPr="00C5639E" w:rsidRDefault="00000000" w:rsidP="00031E5E">
      <w:pPr>
        <w:spacing w:before="60" w:after="60" w:line="276" w:lineRule="auto"/>
        <w:jc w:val="both"/>
        <w:rPr>
          <w:lang w:val="en-US"/>
        </w:rPr>
      </w:pPr>
      <w:r w:rsidRPr="00C5639E">
        <w:rPr>
          <w:lang w:val="en-US"/>
        </w:rPr>
        <w:t>Repeated cross-section survey (rounds 2012, 2014, 2017, 2019 and 2023)</w:t>
      </w:r>
      <w:r w:rsidR="000C3954">
        <w:rPr>
          <w:rStyle w:val="Refdenotaalpie"/>
          <w:lang w:val="en-US"/>
        </w:rPr>
        <w:footnoteReference w:id="1"/>
      </w:r>
      <w:r w:rsidRPr="00C5639E">
        <w:rPr>
          <w:lang w:val="en-US"/>
        </w:rPr>
        <w:t xml:space="preserve"> with individual-level information on political attitudes, migration intentions, ideology, party identification, community involvement, </w:t>
      </w:r>
      <w:r w:rsidR="004E632A">
        <w:rPr>
          <w:lang w:val="en-US"/>
        </w:rPr>
        <w:t xml:space="preserve">interest in politics, </w:t>
      </w:r>
      <w:r w:rsidRPr="00C5639E">
        <w:rPr>
          <w:lang w:val="en-US"/>
        </w:rPr>
        <w:t>and demographic characteristics. Includes municipality and province identifiers used to link with the census.</w:t>
      </w:r>
    </w:p>
    <w:p w14:paraId="3EDA49CE" w14:textId="77777777" w:rsidR="00790C6C" w:rsidRPr="00C5639E" w:rsidRDefault="00000000" w:rsidP="00031E5E">
      <w:pPr>
        <w:pStyle w:val="Ttulo1"/>
        <w:spacing w:before="240" w:after="120" w:line="276" w:lineRule="auto"/>
        <w:rPr>
          <w:lang w:val="en-US"/>
        </w:rPr>
      </w:pPr>
      <w:r w:rsidRPr="00C5639E">
        <w:rPr>
          <w:b/>
          <w:bCs/>
          <w:color w:val="1F4E79"/>
          <w:lang w:val="en-US"/>
        </w:rPr>
        <w:t>2. Treatment Variables</w:t>
      </w:r>
    </w:p>
    <w:p w14:paraId="574E326F" w14:textId="08C3345A" w:rsidR="00790C6C" w:rsidRPr="00C5639E" w:rsidRDefault="00000000" w:rsidP="00031E5E">
      <w:pPr>
        <w:spacing w:before="60" w:after="60" w:line="276" w:lineRule="auto"/>
        <w:jc w:val="both"/>
        <w:rPr>
          <w:lang w:val="en-US"/>
        </w:rPr>
      </w:pPr>
      <w:r w:rsidRPr="00C5639E">
        <w:rPr>
          <w:lang w:val="en-US"/>
        </w:rPr>
        <w:lastRenderedPageBreak/>
        <w:t xml:space="preserve">The two treatment variables measure historical Spanish exposure by arrival window at the municipal level, expressed as a percentage of the municipal population at the corresponding census. </w:t>
      </w:r>
    </w:p>
    <w:p w14:paraId="6DF1BAEA" w14:textId="671951CF" w:rsidR="00790C6C" w:rsidRPr="00C5639E" w:rsidRDefault="00000000" w:rsidP="00031E5E">
      <w:pPr>
        <w:pStyle w:val="Ttulo2"/>
        <w:spacing w:before="200" w:after="80" w:line="276" w:lineRule="auto"/>
        <w:rPr>
          <w:lang w:val="en-US"/>
        </w:rPr>
      </w:pPr>
      <w:r w:rsidRPr="00C5639E">
        <w:rPr>
          <w:b/>
          <w:bCs/>
          <w:color w:val="2E75B6"/>
          <w:lang w:val="en-US"/>
        </w:rPr>
        <w:t xml:space="preserve">2.1 </w:t>
      </w:r>
      <w:r w:rsidR="00FB40D8">
        <w:rPr>
          <w:b/>
          <w:bCs/>
          <w:color w:val="2E75B6"/>
          <w:lang w:val="en-US"/>
        </w:rPr>
        <w:t xml:space="preserve">Spanish </w:t>
      </w:r>
      <w:r w:rsidRPr="00C5639E">
        <w:rPr>
          <w:b/>
          <w:bCs/>
          <w:color w:val="2E75B6"/>
          <w:lang w:val="en-US"/>
        </w:rPr>
        <w:t>share</w:t>
      </w:r>
      <w:r w:rsidR="00FB40D8">
        <w:rPr>
          <w:b/>
          <w:bCs/>
          <w:color w:val="2E75B6"/>
          <w:lang w:val="en-US"/>
        </w:rPr>
        <w:t xml:space="preserve"> </w:t>
      </w:r>
      <w:r w:rsidRPr="00C5639E">
        <w:rPr>
          <w:b/>
          <w:bCs/>
          <w:color w:val="2E75B6"/>
          <w:lang w:val="en-US"/>
        </w:rPr>
        <w:t>1936</w:t>
      </w:r>
      <w:r w:rsidR="00FB40D8">
        <w:rPr>
          <w:b/>
          <w:bCs/>
          <w:color w:val="2E75B6"/>
          <w:lang w:val="en-US"/>
        </w:rPr>
        <w:t>-</w:t>
      </w:r>
      <w:r w:rsidRPr="00C5639E">
        <w:rPr>
          <w:b/>
          <w:bCs/>
          <w:color w:val="2E75B6"/>
          <w:lang w:val="en-US"/>
        </w:rPr>
        <w:t>1955</w:t>
      </w:r>
    </w:p>
    <w:p w14:paraId="6D9CA71B" w14:textId="2FDCE64E" w:rsidR="00790C6C" w:rsidRPr="00C5639E" w:rsidRDefault="00000000" w:rsidP="00031E5E">
      <w:pPr>
        <w:spacing w:before="60" w:after="60" w:line="276" w:lineRule="auto"/>
        <w:jc w:val="both"/>
        <w:rPr>
          <w:lang w:val="en-US"/>
        </w:rPr>
      </w:pPr>
      <w:r w:rsidRPr="00C5639E">
        <w:rPr>
          <w:lang w:val="en-US"/>
        </w:rPr>
        <w:t xml:space="preserve">Built from the 1970 Argentine census. For each municipality </w:t>
      </w:r>
      <w:r w:rsidRPr="00C5639E">
        <w:rPr>
          <w:i/>
          <w:iCs/>
          <w:lang w:val="en-US"/>
        </w:rPr>
        <w:t>m</w:t>
      </w:r>
      <w:r w:rsidRPr="00C5639E">
        <w:rPr>
          <w:lang w:val="en-US"/>
        </w:rPr>
        <w:t xml:space="preserve"> we count Spanish-born individuals with year of arrival between 1936 and 1955, applying census sampling weights. Formally:</w:t>
      </w:r>
    </w:p>
    <w:p w14:paraId="2DC399A4" w14:textId="7FFCEB16" w:rsidR="00790C6C" w:rsidRPr="00C5639E" w:rsidRDefault="00FB40D8" w:rsidP="00031E5E">
      <w:pPr>
        <w:spacing w:before="60" w:after="60" w:line="276" w:lineRule="auto"/>
        <w:jc w:val="both"/>
        <w:rPr>
          <w:lang w:val="en-US"/>
        </w:rPr>
      </w:pPr>
      <w:r>
        <w:rPr>
          <w:i/>
          <w:iCs/>
          <w:lang w:val="en-US"/>
        </w:rPr>
        <w:t xml:space="preserve">Spanish </w:t>
      </w:r>
      <w:r w:rsidRPr="00C5639E">
        <w:rPr>
          <w:i/>
          <w:iCs/>
          <w:lang w:val="en-US"/>
        </w:rPr>
        <w:t>share</w:t>
      </w:r>
      <w:r>
        <w:rPr>
          <w:i/>
          <w:iCs/>
          <w:lang w:val="en-US"/>
        </w:rPr>
        <w:t xml:space="preserve"> </w:t>
      </w:r>
      <w:r w:rsidRPr="00C5639E">
        <w:rPr>
          <w:i/>
          <w:iCs/>
          <w:lang w:val="en-US"/>
        </w:rPr>
        <w:t>1936</w:t>
      </w:r>
      <w:r>
        <w:rPr>
          <w:i/>
          <w:iCs/>
          <w:lang w:val="en-US"/>
        </w:rPr>
        <w:t>-</w:t>
      </w:r>
      <w:r w:rsidRPr="00C5639E">
        <w:rPr>
          <w:i/>
          <w:iCs/>
          <w:lang w:val="en-US"/>
        </w:rPr>
        <w:t>1955 = 100 x (spanish-born arrived</w:t>
      </w:r>
      <w:r>
        <w:rPr>
          <w:i/>
          <w:iCs/>
          <w:lang w:val="en-US"/>
        </w:rPr>
        <w:t xml:space="preserve"> in</w:t>
      </w:r>
      <w:r w:rsidRPr="00C5639E">
        <w:rPr>
          <w:i/>
          <w:iCs/>
          <w:lang w:val="en-US"/>
        </w:rPr>
        <w:t xml:space="preserve"> 1936-1955, weighted count) / (total 1970 municipal population</w:t>
      </w:r>
      <w:r w:rsidR="00C5639E">
        <w:rPr>
          <w:i/>
          <w:iCs/>
          <w:lang w:val="en-US"/>
        </w:rPr>
        <w:t xml:space="preserve">, </w:t>
      </w:r>
      <w:r w:rsidR="00C5639E" w:rsidRPr="00C5639E">
        <w:rPr>
          <w:i/>
          <w:iCs/>
          <w:lang w:val="en-US"/>
        </w:rPr>
        <w:t>weighted count</w:t>
      </w:r>
      <w:r w:rsidRPr="00C5639E">
        <w:rPr>
          <w:i/>
          <w:iCs/>
          <w:lang w:val="en-US"/>
        </w:rPr>
        <w:t>).</w:t>
      </w:r>
    </w:p>
    <w:p w14:paraId="010A2FF7" w14:textId="12696EEB" w:rsidR="00790C6C" w:rsidRPr="00C5639E" w:rsidRDefault="00000000" w:rsidP="00031E5E">
      <w:pPr>
        <w:pStyle w:val="Ttulo2"/>
        <w:spacing w:before="200" w:after="80" w:line="276" w:lineRule="auto"/>
        <w:rPr>
          <w:lang w:val="en-US"/>
        </w:rPr>
      </w:pPr>
      <w:r w:rsidRPr="00C5639E">
        <w:rPr>
          <w:b/>
          <w:bCs/>
          <w:color w:val="2E75B6"/>
          <w:lang w:val="en-US"/>
        </w:rPr>
        <w:t xml:space="preserve">2.2 </w:t>
      </w:r>
      <w:r w:rsidR="00FB40D8">
        <w:rPr>
          <w:b/>
          <w:bCs/>
          <w:color w:val="2E75B6"/>
          <w:lang w:val="en-US"/>
        </w:rPr>
        <w:t xml:space="preserve">Spanish </w:t>
      </w:r>
      <w:r w:rsidRPr="00C5639E">
        <w:rPr>
          <w:b/>
          <w:bCs/>
          <w:color w:val="2E75B6"/>
          <w:lang w:val="en-US"/>
        </w:rPr>
        <w:t>share</w:t>
      </w:r>
      <w:r w:rsidR="00FB40D8">
        <w:rPr>
          <w:b/>
          <w:bCs/>
          <w:color w:val="2E75B6"/>
          <w:lang w:val="en-US"/>
        </w:rPr>
        <w:t xml:space="preserve"> </w:t>
      </w:r>
      <w:r w:rsidRPr="00C5639E">
        <w:rPr>
          <w:b/>
          <w:bCs/>
          <w:color w:val="2E75B6"/>
          <w:lang w:val="en-US"/>
        </w:rPr>
        <w:t>1956</w:t>
      </w:r>
      <w:r w:rsidR="00FB40D8">
        <w:rPr>
          <w:b/>
          <w:bCs/>
          <w:color w:val="2E75B6"/>
          <w:lang w:val="en-US"/>
        </w:rPr>
        <w:t>-</w:t>
      </w:r>
      <w:r w:rsidRPr="00C5639E">
        <w:rPr>
          <w:b/>
          <w:bCs/>
          <w:color w:val="2E75B6"/>
          <w:lang w:val="en-US"/>
        </w:rPr>
        <w:t>1978</w:t>
      </w:r>
    </w:p>
    <w:p w14:paraId="7EDEC110" w14:textId="77777777" w:rsidR="00790C6C" w:rsidRPr="00C5639E" w:rsidRDefault="00000000" w:rsidP="00031E5E">
      <w:pPr>
        <w:spacing w:before="60" w:after="60" w:line="276" w:lineRule="auto"/>
        <w:jc w:val="both"/>
        <w:rPr>
          <w:lang w:val="en-US"/>
        </w:rPr>
      </w:pPr>
      <w:r w:rsidRPr="00C5639E">
        <w:rPr>
          <w:lang w:val="en-US"/>
        </w:rPr>
        <w:t>Built analogously from the 1980 census: Spanish-born individuals with year of arrival between 1956 and 1978, divided by the 1980 total municipal population, times 100.</w:t>
      </w:r>
    </w:p>
    <w:p w14:paraId="42A174B4" w14:textId="77777777" w:rsidR="00790C6C" w:rsidRPr="00C5639E" w:rsidRDefault="00000000" w:rsidP="00031E5E">
      <w:pPr>
        <w:pStyle w:val="Ttulo2"/>
        <w:spacing w:before="200" w:after="80" w:line="276" w:lineRule="auto"/>
        <w:rPr>
          <w:lang w:val="en-US"/>
        </w:rPr>
      </w:pPr>
      <w:r w:rsidRPr="00C5639E">
        <w:rPr>
          <w:b/>
          <w:bCs/>
          <w:color w:val="2E75B6"/>
          <w:lang w:val="en-US"/>
        </w:rPr>
        <w:t>2.3 Pooled treatment (single-census construction)</w:t>
      </w:r>
    </w:p>
    <w:p w14:paraId="3B307F51" w14:textId="77777777" w:rsidR="0011195D" w:rsidRDefault="0011195D" w:rsidP="00FB40D8">
      <w:pPr>
        <w:pStyle w:val="Ttulo2"/>
        <w:spacing w:before="240" w:after="240" w:line="276" w:lineRule="auto"/>
        <w:jc w:val="both"/>
        <w:rPr>
          <w:color w:val="auto"/>
          <w:sz w:val="22"/>
          <w:szCs w:val="22"/>
          <w:lang w:val="en-US"/>
        </w:rPr>
      </w:pPr>
      <w:r w:rsidRPr="0011195D">
        <w:rPr>
          <w:color w:val="auto"/>
          <w:sz w:val="22"/>
          <w:szCs w:val="22"/>
          <w:lang w:val="en-US"/>
        </w:rPr>
        <w:t>For robustness checks, we also construct measures of the share of the Spanish-born population without separating arrivals into different migration windows (share_36_78_c70 and share_36_78_c80). These variables pool arrivals into a single broad period using either the 1970 or the 1980 census, respectively. The 1970-based measure captures arrivals between 1936 and 1970, whereas the 1980-based measure captures arrivals over the full 1936–1978 period.</w:t>
      </w:r>
    </w:p>
    <w:p w14:paraId="4E4E70C9" w14:textId="77777777" w:rsidR="00790C6C" w:rsidRPr="00C5639E" w:rsidRDefault="00000000" w:rsidP="00FB40D8">
      <w:pPr>
        <w:pStyle w:val="Ttulo1"/>
        <w:spacing w:before="240" w:after="240" w:line="276" w:lineRule="auto"/>
        <w:rPr>
          <w:lang w:val="en-US"/>
        </w:rPr>
      </w:pPr>
      <w:r w:rsidRPr="00C5639E">
        <w:rPr>
          <w:b/>
          <w:bCs/>
          <w:color w:val="1F4E79"/>
          <w:lang w:val="en-US"/>
        </w:rPr>
        <w:t>3. Outcomes</w:t>
      </w:r>
    </w:p>
    <w:p w14:paraId="3249B346" w14:textId="738BB638" w:rsidR="00790C6C" w:rsidRPr="00C5639E" w:rsidRDefault="00000000" w:rsidP="00FB40D8">
      <w:pPr>
        <w:pStyle w:val="Ttulo2"/>
        <w:spacing w:before="240" w:after="240" w:line="276" w:lineRule="auto"/>
        <w:rPr>
          <w:lang w:val="en-US"/>
        </w:rPr>
      </w:pPr>
      <w:r w:rsidRPr="00C5639E">
        <w:rPr>
          <w:b/>
          <w:bCs/>
          <w:color w:val="2E75B6"/>
          <w:lang w:val="en-US"/>
        </w:rPr>
        <w:t>3.1 Electoral outcomes</w:t>
      </w:r>
    </w:p>
    <w:p w14:paraId="6683E6A9" w14:textId="4F7EA270" w:rsidR="00FB40D8" w:rsidRPr="00FB40D8" w:rsidRDefault="00FB40D8" w:rsidP="00FB40D8">
      <w:pPr>
        <w:spacing w:before="240" w:after="240" w:line="276" w:lineRule="auto"/>
        <w:jc w:val="both"/>
        <w:rPr>
          <w:lang w:val="en-US"/>
        </w:rPr>
      </w:pPr>
      <w:r>
        <w:rPr>
          <w:lang w:val="en-US"/>
        </w:rPr>
        <w:t>E</w:t>
      </w:r>
      <w:r w:rsidRPr="00FB40D8">
        <w:rPr>
          <w:lang w:val="en-US"/>
        </w:rPr>
        <w:t xml:space="preserve">lectoral </w:t>
      </w:r>
      <w:r>
        <w:rPr>
          <w:lang w:val="en-US"/>
        </w:rPr>
        <w:t>outcomes</w:t>
      </w:r>
      <w:r w:rsidRPr="00FB40D8">
        <w:rPr>
          <w:lang w:val="en-US"/>
        </w:rPr>
        <w:t xml:space="preserve"> come from </w:t>
      </w:r>
      <w:r>
        <w:rPr>
          <w:lang w:val="en-US"/>
        </w:rPr>
        <w:t xml:space="preserve">Data </w:t>
      </w:r>
      <w:r w:rsidRPr="00FB40D8">
        <w:rPr>
          <w:lang w:val="en-US"/>
        </w:rPr>
        <w:t>CP and cover national legislative elections for the Chamber of Deputies held in 2011, 2013, 2015, 2017, 2019, 2021, 2023, and 2025. The unit of observation is the municipality × election year × election type (general election or PASO).</w:t>
      </w:r>
    </w:p>
    <w:p w14:paraId="5BB40C69" w14:textId="22DC649F" w:rsidR="00790C6C" w:rsidRPr="00C5639E" w:rsidRDefault="00000000" w:rsidP="00FB40D8">
      <w:pPr>
        <w:spacing w:before="240" w:after="240" w:line="276" w:lineRule="auto"/>
        <w:jc w:val="both"/>
        <w:rPr>
          <w:lang w:val="en-US"/>
        </w:rPr>
      </w:pPr>
      <w:r w:rsidRPr="00C5639E">
        <w:rPr>
          <w:b/>
          <w:bCs/>
          <w:lang w:val="en-US"/>
        </w:rPr>
        <w:t>Blank vote share.</w:t>
      </w:r>
      <w:r w:rsidRPr="00C5639E">
        <w:rPr>
          <w:lang w:val="en-US"/>
        </w:rPr>
        <w:t xml:space="preserve"> Ratio of blank votes over votes cast in the </w:t>
      </w:r>
      <w:r w:rsidR="00EC76E8">
        <w:rPr>
          <w:lang w:val="en-US"/>
        </w:rPr>
        <w:t>municipality</w:t>
      </w:r>
      <w:r w:rsidRPr="00C5639E">
        <w:rPr>
          <w:lang w:val="en-US"/>
        </w:rPr>
        <w:t xml:space="preserve">, in percent. </w:t>
      </w:r>
    </w:p>
    <w:p w14:paraId="254CF415" w14:textId="22E2E646" w:rsidR="00790C6C" w:rsidRPr="00C5639E" w:rsidRDefault="00000000" w:rsidP="00FB40D8">
      <w:pPr>
        <w:spacing w:before="240" w:after="240" w:line="276" w:lineRule="auto"/>
        <w:jc w:val="both"/>
        <w:rPr>
          <w:lang w:val="en-US"/>
        </w:rPr>
      </w:pPr>
      <w:r w:rsidRPr="00C5639E">
        <w:rPr>
          <w:b/>
          <w:bCs/>
          <w:lang w:val="en-US"/>
        </w:rPr>
        <w:t>Voter turnout</w:t>
      </w:r>
      <w:r w:rsidR="00C5639E">
        <w:rPr>
          <w:b/>
          <w:bCs/>
          <w:lang w:val="en-US"/>
        </w:rPr>
        <w:t xml:space="preserve">. </w:t>
      </w:r>
      <w:r w:rsidRPr="00C5639E">
        <w:rPr>
          <w:lang w:val="en-US"/>
        </w:rPr>
        <w:t xml:space="preserve">Ratio of votes cast over registered voters in the </w:t>
      </w:r>
      <w:r w:rsidR="00EC76E8">
        <w:rPr>
          <w:lang w:val="en-US"/>
        </w:rPr>
        <w:t>municipality</w:t>
      </w:r>
      <w:r w:rsidRPr="00C5639E">
        <w:rPr>
          <w:lang w:val="en-US"/>
        </w:rPr>
        <w:t xml:space="preserve">. </w:t>
      </w:r>
    </w:p>
    <w:p w14:paraId="143C9E9A" w14:textId="3C4383D5" w:rsidR="00790C6C" w:rsidRPr="00C5639E" w:rsidRDefault="00000000" w:rsidP="00FB40D8">
      <w:pPr>
        <w:spacing w:before="240" w:after="240" w:line="276" w:lineRule="auto"/>
        <w:jc w:val="both"/>
        <w:rPr>
          <w:lang w:val="en-US"/>
        </w:rPr>
      </w:pPr>
      <w:r w:rsidRPr="00C5639E">
        <w:rPr>
          <w:b/>
          <w:bCs/>
          <w:lang w:val="en-US"/>
        </w:rPr>
        <w:t>Ideological vote shares.</w:t>
      </w:r>
      <w:r w:rsidRPr="00C5639E">
        <w:rPr>
          <w:lang w:val="en-US"/>
        </w:rPr>
        <w:t xml:space="preserve"> </w:t>
      </w:r>
      <w:r w:rsidR="0011195D" w:rsidRPr="0011195D">
        <w:rPr>
          <w:lang w:val="en-US"/>
        </w:rPr>
        <w:t xml:space="preserve">Each party running for the Chamber of Deputies is classified into five ideological blocs (left, center-left, center, center-right, and right) and </w:t>
      </w:r>
      <w:r w:rsidR="0034283A" w:rsidRPr="0011195D">
        <w:rPr>
          <w:lang w:val="en-US"/>
        </w:rPr>
        <w:t>two-party</w:t>
      </w:r>
      <w:r w:rsidR="0011195D" w:rsidRPr="0011195D">
        <w:rPr>
          <w:lang w:val="en-US"/>
        </w:rPr>
        <w:t xml:space="preserve"> families (Peronist and Radical). The classification covers approximately 540 unique parties competing between 2011 and 2025 and was conducted manually with the assistance of AI.</w:t>
      </w:r>
      <w:r w:rsidR="00FB40D8">
        <w:rPr>
          <w:lang w:val="en-US"/>
        </w:rPr>
        <w:t xml:space="preserve"> </w:t>
      </w:r>
      <w:r w:rsidRPr="00C5639E">
        <w:rPr>
          <w:lang w:val="en-US"/>
        </w:rPr>
        <w:t>The vote share of each ideological bloc is computed at the</w:t>
      </w:r>
      <w:r w:rsidR="0011195D">
        <w:rPr>
          <w:lang w:val="en-US"/>
        </w:rPr>
        <w:t xml:space="preserve"> municipality-</w:t>
      </w:r>
      <w:r w:rsidRPr="00C5639E">
        <w:rPr>
          <w:lang w:val="en-US"/>
        </w:rPr>
        <w:t>election level as a percentage of valid votes</w:t>
      </w:r>
      <w:r w:rsidR="0011195D">
        <w:rPr>
          <w:lang w:val="en-US"/>
        </w:rPr>
        <w:t xml:space="preserve"> (excluding</w:t>
      </w:r>
      <w:r w:rsidR="0034283A">
        <w:rPr>
          <w:lang w:val="en-US"/>
        </w:rPr>
        <w:t xml:space="preserve"> </w:t>
      </w:r>
      <w:r w:rsidR="0034283A" w:rsidRPr="0034283A">
        <w:rPr>
          <w:lang w:val="en-US"/>
        </w:rPr>
        <w:t>blank, null, and challenged ballots</w:t>
      </w:r>
      <w:r w:rsidR="0011195D">
        <w:rPr>
          <w:lang w:val="en-US"/>
        </w:rPr>
        <w:t>)</w:t>
      </w:r>
      <w:r w:rsidRPr="00C5639E">
        <w:rPr>
          <w:lang w:val="en-US"/>
        </w:rPr>
        <w:t xml:space="preserve">. </w:t>
      </w:r>
      <w:r w:rsidR="0034283A" w:rsidRPr="0034283A">
        <w:rPr>
          <w:lang w:val="en-US"/>
        </w:rPr>
        <w:t>We additionally construct broad-left and broad-right vote shares by summing the vote shares of left and center-left parties, and of right and center-right parties, respectively.</w:t>
      </w:r>
    </w:p>
    <w:p w14:paraId="5057BE0A" w14:textId="350FD7E0" w:rsidR="0034283A" w:rsidRDefault="00000000" w:rsidP="00FB40D8">
      <w:pPr>
        <w:spacing w:before="240" w:after="240" w:line="276" w:lineRule="auto"/>
        <w:jc w:val="both"/>
        <w:rPr>
          <w:lang w:val="en-US"/>
        </w:rPr>
      </w:pPr>
      <w:r w:rsidRPr="00C5639E">
        <w:rPr>
          <w:b/>
          <w:bCs/>
          <w:lang w:val="en-US"/>
        </w:rPr>
        <w:t>Incumbency.</w:t>
      </w:r>
      <w:r w:rsidRPr="00C5639E">
        <w:rPr>
          <w:lang w:val="en-US"/>
        </w:rPr>
        <w:t xml:space="preserve"> For each election year we identify which party in the section represents the incumbent national government (</w:t>
      </w:r>
      <w:proofErr w:type="spellStart"/>
      <w:r w:rsidRPr="00C5639E">
        <w:rPr>
          <w:lang w:val="en-US"/>
        </w:rPr>
        <w:t>Kirchnerismo</w:t>
      </w:r>
      <w:proofErr w:type="spellEnd"/>
      <w:r w:rsidRPr="00C5639E">
        <w:rPr>
          <w:lang w:val="en-US"/>
        </w:rPr>
        <w:t xml:space="preserve"> 2011-2015, </w:t>
      </w:r>
      <w:proofErr w:type="spellStart"/>
      <w:r w:rsidRPr="00C5639E">
        <w:rPr>
          <w:lang w:val="en-US"/>
        </w:rPr>
        <w:t>Cambiemos</w:t>
      </w:r>
      <w:proofErr w:type="spellEnd"/>
      <w:r w:rsidRPr="00C5639E">
        <w:rPr>
          <w:lang w:val="en-US"/>
        </w:rPr>
        <w:t xml:space="preserve"> 2017, </w:t>
      </w:r>
      <w:proofErr w:type="spellStart"/>
      <w:r w:rsidRPr="00C5639E">
        <w:rPr>
          <w:lang w:val="en-US"/>
        </w:rPr>
        <w:t>JxC</w:t>
      </w:r>
      <w:proofErr w:type="spellEnd"/>
      <w:r w:rsidRPr="00C5639E">
        <w:rPr>
          <w:lang w:val="en-US"/>
        </w:rPr>
        <w:t xml:space="preserve"> 2019, Frente de Todos 2021, </w:t>
      </w:r>
      <w:r w:rsidRPr="00C5639E">
        <w:rPr>
          <w:lang w:val="en-US"/>
        </w:rPr>
        <w:lastRenderedPageBreak/>
        <w:t>Union por la Patria 2023, La Libertad Avanza 2025). From this we build incumbent vote share</w:t>
      </w:r>
      <w:r w:rsidR="004E632A">
        <w:rPr>
          <w:lang w:val="en-US"/>
        </w:rPr>
        <w:t xml:space="preserve">, </w:t>
      </w:r>
      <w:r w:rsidR="004E632A" w:rsidRPr="00C5639E">
        <w:rPr>
          <w:lang w:val="en-US"/>
        </w:rPr>
        <w:t>as a percentage of valid votes</w:t>
      </w:r>
      <w:r w:rsidR="004E632A">
        <w:rPr>
          <w:lang w:val="en-US"/>
        </w:rPr>
        <w:t xml:space="preserve"> (excluding </w:t>
      </w:r>
      <w:r w:rsidR="004E632A" w:rsidRPr="0034283A">
        <w:rPr>
          <w:lang w:val="en-US"/>
        </w:rPr>
        <w:t>blank, null, and challenged ballots</w:t>
      </w:r>
      <w:r w:rsidR="004E632A">
        <w:rPr>
          <w:lang w:val="en-US"/>
        </w:rPr>
        <w:t>)</w:t>
      </w:r>
      <w:r w:rsidR="004E632A" w:rsidRPr="00C5639E">
        <w:rPr>
          <w:lang w:val="en-US"/>
        </w:rPr>
        <w:t>.</w:t>
      </w:r>
    </w:p>
    <w:p w14:paraId="293CAE27" w14:textId="2BA2A492" w:rsidR="0034283A" w:rsidRPr="004E632A" w:rsidRDefault="0034283A" w:rsidP="00FB40D8">
      <w:pPr>
        <w:spacing w:before="240" w:after="240" w:line="276" w:lineRule="auto"/>
        <w:jc w:val="both"/>
        <w:rPr>
          <w:lang w:val="en-US"/>
        </w:rPr>
      </w:pPr>
      <w:r>
        <w:rPr>
          <w:b/>
          <w:bCs/>
          <w:lang w:val="en-US"/>
        </w:rPr>
        <w:t xml:space="preserve">Ideological </w:t>
      </w:r>
      <w:r w:rsidRPr="0034283A">
        <w:rPr>
          <w:b/>
          <w:bCs/>
          <w:lang w:val="en-US"/>
        </w:rPr>
        <w:t>alternation</w:t>
      </w:r>
      <w:r>
        <w:rPr>
          <w:b/>
          <w:bCs/>
          <w:lang w:val="en-US"/>
        </w:rPr>
        <w:t>.</w:t>
      </w:r>
      <w:r w:rsidR="004E632A" w:rsidRPr="004E632A">
        <w:rPr>
          <w:b/>
          <w:bCs/>
          <w:lang w:val="en-US"/>
        </w:rPr>
        <w:t xml:space="preserve"> </w:t>
      </w:r>
      <w:r w:rsidR="004E632A" w:rsidRPr="004E632A">
        <w:rPr>
          <w:lang w:val="en-US"/>
        </w:rPr>
        <w:t>Dummy variable indicating</w:t>
      </w:r>
      <w:r w:rsidR="004E632A">
        <w:rPr>
          <w:b/>
          <w:bCs/>
          <w:lang w:val="en-US"/>
        </w:rPr>
        <w:t xml:space="preserve"> </w:t>
      </w:r>
      <w:r w:rsidR="004E632A" w:rsidRPr="004E632A">
        <w:rPr>
          <w:lang w:val="en-US"/>
        </w:rPr>
        <w:t>whether the winning ideological bloc changes between consecutive elections</w:t>
      </w:r>
      <w:r w:rsidR="004E632A">
        <w:rPr>
          <w:lang w:val="en-US"/>
        </w:rPr>
        <w:t xml:space="preserve"> of the same type.</w:t>
      </w:r>
    </w:p>
    <w:p w14:paraId="4CC79B33" w14:textId="77777777" w:rsidR="00790C6C" w:rsidRPr="00C5639E" w:rsidRDefault="00000000" w:rsidP="00FB40D8">
      <w:pPr>
        <w:pStyle w:val="Ttulo2"/>
        <w:spacing w:before="240" w:after="240" w:line="276" w:lineRule="auto"/>
        <w:rPr>
          <w:lang w:val="en-US"/>
        </w:rPr>
      </w:pPr>
      <w:r w:rsidRPr="00C5639E">
        <w:rPr>
          <w:b/>
          <w:bCs/>
          <w:color w:val="2E75B6"/>
          <w:lang w:val="en-US"/>
        </w:rPr>
        <w:t>3.2 Migration outcomes (individual x LAPOP round)</w:t>
      </w:r>
    </w:p>
    <w:p w14:paraId="4B12C854" w14:textId="4C282681" w:rsidR="00FB40D8" w:rsidRPr="00FB40D8" w:rsidRDefault="00FB40D8" w:rsidP="00FB40D8">
      <w:pPr>
        <w:pStyle w:val="p1"/>
        <w:jc w:val="both"/>
        <w:rPr>
          <w:rFonts w:ascii="Cambria" w:eastAsia="Cambria" w:hAnsi="Cambria" w:cs="Cambria"/>
          <w:sz w:val="22"/>
          <w:szCs w:val="22"/>
          <w:lang w:val="en-US"/>
        </w:rPr>
      </w:pPr>
      <w:r w:rsidRPr="00FB40D8">
        <w:rPr>
          <w:rFonts w:ascii="Cambria" w:eastAsia="Cambria" w:hAnsi="Cambria" w:cs="Cambria"/>
          <w:sz w:val="22"/>
          <w:szCs w:val="22"/>
          <w:lang w:val="en-US"/>
        </w:rPr>
        <w:t>Migration outcom</w:t>
      </w:r>
      <w:r>
        <w:rPr>
          <w:rFonts w:ascii="Cambria" w:eastAsia="Cambria" w:hAnsi="Cambria" w:cs="Cambria"/>
          <w:sz w:val="22"/>
          <w:szCs w:val="22"/>
          <w:lang w:val="en-US"/>
        </w:rPr>
        <w:t>e</w:t>
      </w:r>
      <w:r w:rsidRPr="00FB40D8">
        <w:rPr>
          <w:rFonts w:ascii="Cambria" w:eastAsia="Cambria" w:hAnsi="Cambria" w:cs="Cambria"/>
          <w:sz w:val="22"/>
          <w:szCs w:val="22"/>
          <w:lang w:val="en-US"/>
        </w:rPr>
        <w:t xml:space="preserve"> come from the LAPOP surveys conducted in Argentina in 2012, 2014, 2017, 2019, and 2023. The unit of observation is the individual × survey round, and the sample covers respondents residing in 56 municipalities.</w:t>
      </w:r>
    </w:p>
    <w:p w14:paraId="2099CFC4" w14:textId="2D630710" w:rsidR="00790C6C" w:rsidRPr="00C5639E" w:rsidRDefault="00000000" w:rsidP="00FB40D8">
      <w:pPr>
        <w:spacing w:before="240" w:after="240" w:line="276" w:lineRule="auto"/>
        <w:jc w:val="both"/>
        <w:rPr>
          <w:lang w:val="en-US"/>
        </w:rPr>
      </w:pPr>
      <w:r w:rsidRPr="00FB40D8">
        <w:rPr>
          <w:b/>
          <w:bCs/>
          <w:lang w:val="en-US"/>
        </w:rPr>
        <w:t>Migration intention.</w:t>
      </w:r>
      <w:r w:rsidRPr="00C5639E">
        <w:rPr>
          <w:lang w:val="en-US"/>
        </w:rPr>
        <w:t xml:space="preserve"> LAPOP question </w:t>
      </w:r>
      <w:r w:rsidRPr="00FB40D8">
        <w:rPr>
          <w:lang w:val="en-US"/>
        </w:rPr>
        <w:t>Q14</w:t>
      </w:r>
      <w:r w:rsidRPr="00C5639E">
        <w:rPr>
          <w:lang w:val="en-US"/>
        </w:rPr>
        <w:t>: "Do you have any intention of going to live or work in another country in the next three years?" Coded 1 = yes, 0 = no.</w:t>
      </w:r>
    </w:p>
    <w:p w14:paraId="0759D5F2" w14:textId="77777777" w:rsidR="00790C6C" w:rsidRPr="00C5639E" w:rsidRDefault="00000000" w:rsidP="00031E5E">
      <w:pPr>
        <w:pStyle w:val="Ttulo1"/>
        <w:spacing w:before="240" w:after="120" w:line="276" w:lineRule="auto"/>
        <w:rPr>
          <w:lang w:val="en-US"/>
        </w:rPr>
      </w:pPr>
      <w:r w:rsidRPr="00C5639E">
        <w:rPr>
          <w:b/>
          <w:bCs/>
          <w:color w:val="1F4E79"/>
          <w:lang w:val="en-US"/>
        </w:rPr>
        <w:t>4. Merging the Datasets</w:t>
      </w:r>
    </w:p>
    <w:p w14:paraId="1C7164AE" w14:textId="77777777" w:rsidR="00790C6C" w:rsidRPr="00C5639E" w:rsidRDefault="00000000" w:rsidP="00031E5E">
      <w:pPr>
        <w:pStyle w:val="Ttulo2"/>
        <w:spacing w:before="200" w:after="80" w:line="276" w:lineRule="auto"/>
        <w:rPr>
          <w:lang w:val="en-US"/>
        </w:rPr>
      </w:pPr>
      <w:r w:rsidRPr="00C5639E">
        <w:rPr>
          <w:b/>
          <w:bCs/>
          <w:color w:val="2E75B6"/>
          <w:lang w:val="en-US"/>
        </w:rPr>
        <w:t>4.1 Common municipal identifier</w:t>
      </w:r>
    </w:p>
    <w:p w14:paraId="75D4AA09" w14:textId="77777777" w:rsidR="002122AF" w:rsidRDefault="002122AF" w:rsidP="00031E5E">
      <w:pPr>
        <w:pStyle w:val="Ttulo2"/>
        <w:spacing w:before="200" w:after="80" w:line="276" w:lineRule="auto"/>
        <w:rPr>
          <w:color w:val="auto"/>
          <w:sz w:val="22"/>
          <w:szCs w:val="22"/>
          <w:lang w:val="en-US"/>
        </w:rPr>
      </w:pPr>
      <w:r w:rsidRPr="002122AF">
        <w:rPr>
          <w:color w:val="auto"/>
          <w:sz w:val="22"/>
          <w:szCs w:val="22"/>
          <w:lang w:val="en-US"/>
        </w:rPr>
        <w:t>All datasets are harmonized to a common municipality-level identifier based on the six-digit IPUMS code, in which the first three digits identify the province and the last three identify the municipality. The datasets are linked using the procedures described below, and the resulting database identifies municipalities using this harmonized IPUMS-based code.</w:t>
      </w:r>
    </w:p>
    <w:p w14:paraId="5C28ED23" w14:textId="2E3D1E2D" w:rsidR="00031E5E" w:rsidRDefault="00031E5E" w:rsidP="00031E5E">
      <w:pPr>
        <w:pStyle w:val="Ttulo2"/>
        <w:spacing w:before="200" w:after="80" w:line="276" w:lineRule="auto"/>
        <w:rPr>
          <w:color w:val="auto"/>
          <w:sz w:val="22"/>
          <w:szCs w:val="22"/>
          <w:lang w:val="en-US"/>
        </w:rPr>
      </w:pPr>
      <w:r w:rsidRPr="00031E5E">
        <w:rPr>
          <w:color w:val="auto"/>
          <w:sz w:val="22"/>
          <w:szCs w:val="22"/>
          <w:lang w:val="en-US"/>
        </w:rPr>
        <w:t>Because IPUMS provides a harmonized municipality code across census years, the 1970, 1980, and 2010 censuses can be linked directly using this identifier.</w:t>
      </w:r>
    </w:p>
    <w:p w14:paraId="64CC9D75" w14:textId="52432AFA" w:rsidR="00790C6C" w:rsidRPr="00C5639E" w:rsidRDefault="00000000" w:rsidP="00031E5E">
      <w:pPr>
        <w:pStyle w:val="Ttulo2"/>
        <w:spacing w:before="200" w:after="80" w:line="276" w:lineRule="auto"/>
        <w:rPr>
          <w:lang w:val="en-US"/>
        </w:rPr>
      </w:pPr>
      <w:r w:rsidRPr="00C5639E">
        <w:rPr>
          <w:b/>
          <w:bCs/>
          <w:color w:val="2E75B6"/>
          <w:lang w:val="en-US"/>
        </w:rPr>
        <w:t>4.2 Census to Electoral data — via municipal polygons</w:t>
      </w:r>
    </w:p>
    <w:p w14:paraId="505A7B2F" w14:textId="79903DA0" w:rsidR="00063A1F" w:rsidRPr="00063A1F" w:rsidRDefault="00063A1F" w:rsidP="00063A1F">
      <w:pPr>
        <w:pStyle w:val="Ttulo2"/>
        <w:spacing w:before="200" w:after="80" w:line="276" w:lineRule="auto"/>
        <w:jc w:val="both"/>
        <w:rPr>
          <w:color w:val="auto"/>
          <w:sz w:val="22"/>
          <w:szCs w:val="22"/>
          <w:lang w:val="en-US"/>
        </w:rPr>
      </w:pPr>
      <w:r w:rsidRPr="00063A1F">
        <w:rPr>
          <w:color w:val="auto"/>
          <w:sz w:val="22"/>
          <w:szCs w:val="22"/>
          <w:lang w:val="en-US"/>
        </w:rPr>
        <w:t>Because there is no common geographic identifier linking the electoral and IPUMS census data, we match the two datasets spatially using the harmonized 1970–2010 IPUMS municipality shapefile and the electoral-section shapefile from the CP electoral data.</w:t>
      </w:r>
    </w:p>
    <w:p w14:paraId="101812CB" w14:textId="2D990A0A" w:rsidR="00063A1F" w:rsidRPr="00063A1F" w:rsidRDefault="00063A1F" w:rsidP="00063A1F">
      <w:pPr>
        <w:pStyle w:val="Ttulo2"/>
        <w:spacing w:before="200" w:after="80" w:line="276" w:lineRule="auto"/>
        <w:jc w:val="both"/>
        <w:rPr>
          <w:color w:val="auto"/>
          <w:sz w:val="22"/>
          <w:szCs w:val="22"/>
          <w:lang w:val="en-US"/>
        </w:rPr>
      </w:pPr>
      <w:r w:rsidRPr="00063A1F">
        <w:rPr>
          <w:color w:val="auto"/>
          <w:sz w:val="22"/>
          <w:szCs w:val="22"/>
          <w:lang w:val="en-US"/>
        </w:rPr>
        <w:t>Argentine electoral sections do not map one-to-one onto census municipalities. Municipalities typically contain several electoral sections, while some electoral-section boundaries cross municipal borders. Consequently, no municipality coincides exactly with a single electoral-section polygon. For each electoral section, we therefore calculate its spatial intersection with all census municipalities and assign it to the municipality with which it shares the largest area of overlap.</w:t>
      </w:r>
    </w:p>
    <w:p w14:paraId="563B7976" w14:textId="77777777" w:rsidR="00063A1F" w:rsidRDefault="00063A1F" w:rsidP="00063A1F">
      <w:pPr>
        <w:pStyle w:val="Ttulo2"/>
        <w:spacing w:before="200" w:after="80" w:line="276" w:lineRule="auto"/>
        <w:jc w:val="both"/>
        <w:rPr>
          <w:color w:val="auto"/>
          <w:sz w:val="22"/>
          <w:szCs w:val="22"/>
          <w:lang w:val="en-US"/>
        </w:rPr>
      </w:pPr>
      <w:r w:rsidRPr="00063A1F">
        <w:rPr>
          <w:color w:val="auto"/>
          <w:sz w:val="22"/>
          <w:szCs w:val="22"/>
          <w:lang w:val="en-US"/>
        </w:rPr>
        <w:t>A potential concern is that an electoral section may be distributed relatively evenly across multiple municipalities. To assess this, we calculate the share of each section’s area that overlaps with its assigned municipality. The minimum overlap is 70 percent, indicating that every electoral section lies predominantly within a single municipality.</w:t>
      </w:r>
    </w:p>
    <w:p w14:paraId="50F7ACDA" w14:textId="200AB7D7" w:rsidR="00790C6C" w:rsidRPr="00C5639E" w:rsidRDefault="00000000" w:rsidP="00063A1F">
      <w:pPr>
        <w:pStyle w:val="Ttulo2"/>
        <w:spacing w:before="200" w:after="80" w:line="276" w:lineRule="auto"/>
        <w:rPr>
          <w:lang w:val="en-US"/>
        </w:rPr>
      </w:pPr>
      <w:r w:rsidRPr="00C5639E">
        <w:rPr>
          <w:b/>
          <w:bCs/>
          <w:color w:val="2E75B6"/>
          <w:lang w:val="en-US"/>
        </w:rPr>
        <w:t>4.3 Census to LAPOP — name matching plus manual review</w:t>
      </w:r>
    </w:p>
    <w:p w14:paraId="36210881" w14:textId="41CFFDA6" w:rsidR="0049592F" w:rsidRPr="0049592F" w:rsidRDefault="0049592F" w:rsidP="0049592F">
      <w:pPr>
        <w:pStyle w:val="Ttulo2"/>
        <w:spacing w:before="200" w:after="80" w:line="276" w:lineRule="auto"/>
        <w:jc w:val="both"/>
        <w:rPr>
          <w:color w:val="auto"/>
          <w:sz w:val="22"/>
          <w:szCs w:val="22"/>
          <w:lang w:val="en-US"/>
        </w:rPr>
      </w:pPr>
      <w:r w:rsidRPr="0049592F">
        <w:rPr>
          <w:color w:val="auto"/>
          <w:sz w:val="22"/>
          <w:szCs w:val="22"/>
          <w:lang w:val="en-US"/>
        </w:rPr>
        <w:lastRenderedPageBreak/>
        <w:t>LAPOP identifies respondents’ locations using province and municipality names recorded as text fields. To merge the LAPOP data with the IPUMS census data, we followed a three-step procedure.</w:t>
      </w:r>
    </w:p>
    <w:p w14:paraId="71E68AD2" w14:textId="57E8754B" w:rsidR="0049592F" w:rsidRDefault="0049592F" w:rsidP="0049592F">
      <w:pPr>
        <w:pStyle w:val="Ttulo2"/>
        <w:spacing w:before="200" w:after="80" w:line="276" w:lineRule="auto"/>
        <w:jc w:val="both"/>
        <w:rPr>
          <w:color w:val="auto"/>
          <w:sz w:val="22"/>
          <w:szCs w:val="22"/>
          <w:lang w:val="en-US"/>
        </w:rPr>
      </w:pPr>
      <w:r w:rsidRPr="0049592F">
        <w:rPr>
          <w:color w:val="auto"/>
          <w:sz w:val="22"/>
          <w:szCs w:val="22"/>
          <w:lang w:val="en-US"/>
        </w:rPr>
        <w:t>First, we standardized the LAPOP province and municipality names by removing accents, converting all text to uppercase, and trimming excess whitespace. We also harmonized the treatment of CABA, AMBA, and the Province of Buenos Aires</w:t>
      </w:r>
      <w:r>
        <w:rPr>
          <w:color w:val="auto"/>
          <w:sz w:val="22"/>
          <w:szCs w:val="22"/>
          <w:lang w:val="en-US"/>
        </w:rPr>
        <w:t xml:space="preserve"> to match IPUMS labels</w:t>
      </w:r>
      <w:r w:rsidRPr="0049592F">
        <w:rPr>
          <w:color w:val="auto"/>
          <w:sz w:val="22"/>
          <w:szCs w:val="22"/>
          <w:lang w:val="en-US"/>
        </w:rPr>
        <w:t xml:space="preserve">. CABA and its </w:t>
      </w:r>
      <w:r w:rsidRPr="0049592F">
        <w:rPr>
          <w:i/>
          <w:iCs/>
          <w:color w:val="auto"/>
          <w:sz w:val="22"/>
          <w:szCs w:val="22"/>
          <w:lang w:val="en-US"/>
        </w:rPr>
        <w:t>comunas</w:t>
      </w:r>
      <w:r w:rsidRPr="0049592F">
        <w:rPr>
          <w:color w:val="auto"/>
          <w:sz w:val="22"/>
          <w:szCs w:val="22"/>
          <w:lang w:val="en-US"/>
        </w:rPr>
        <w:t xml:space="preserve"> were recoded as “CITY OF BUENOS AIRES,” whereas AMBA and Provincia de Buenos Aires were recoded as “BUENOS AIRES.” In addition, because IPUMS labels provincial capital municipalities as “CAPITAL”</w:t>
      </w:r>
      <w:r>
        <w:rPr>
          <w:color w:val="auto"/>
          <w:sz w:val="22"/>
          <w:szCs w:val="22"/>
          <w:lang w:val="en-US"/>
        </w:rPr>
        <w:t>,</w:t>
      </w:r>
      <w:r w:rsidRPr="0049592F">
        <w:rPr>
          <w:color w:val="auto"/>
          <w:sz w:val="22"/>
          <w:szCs w:val="22"/>
          <w:lang w:val="en-US"/>
        </w:rPr>
        <w:t xml:space="preserve"> we recoded the corresponding LAPOP municipality names accordingly.</w:t>
      </w:r>
    </w:p>
    <w:p w14:paraId="246AEC19" w14:textId="713E8C3F" w:rsidR="0049592F" w:rsidRPr="0049592F" w:rsidRDefault="0049592F" w:rsidP="0049592F">
      <w:pPr>
        <w:pStyle w:val="Ttulo2"/>
        <w:spacing w:before="200" w:after="80" w:line="276" w:lineRule="auto"/>
        <w:jc w:val="both"/>
        <w:rPr>
          <w:color w:val="auto"/>
          <w:sz w:val="22"/>
          <w:szCs w:val="22"/>
          <w:lang w:val="en-US"/>
        </w:rPr>
      </w:pPr>
      <w:r w:rsidRPr="0049592F">
        <w:rPr>
          <w:color w:val="auto"/>
          <w:sz w:val="22"/>
          <w:szCs w:val="22"/>
          <w:lang w:val="en-US"/>
        </w:rPr>
        <w:t>Second, we constructed a crosswalk of all province–municipality pairs appearing in LAPOP and in the harmonized census data, initially matching observations by exact equality of the cleaned province and municipality names.</w:t>
      </w:r>
    </w:p>
    <w:p w14:paraId="2A27D418" w14:textId="34F02E56" w:rsidR="0049592F" w:rsidRDefault="0049592F" w:rsidP="0049592F">
      <w:pPr>
        <w:pStyle w:val="Ttulo2"/>
        <w:spacing w:before="200" w:after="80" w:line="276" w:lineRule="auto"/>
        <w:jc w:val="both"/>
        <w:rPr>
          <w:color w:val="auto"/>
          <w:sz w:val="22"/>
          <w:szCs w:val="22"/>
        </w:rPr>
      </w:pPr>
      <w:r w:rsidRPr="0049592F">
        <w:rPr>
          <w:color w:val="auto"/>
          <w:sz w:val="22"/>
          <w:szCs w:val="22"/>
          <w:lang w:val="en-US"/>
        </w:rPr>
        <w:t xml:space="preserve">Third, we manually resolved the unmatched pairs. Approximately 58 LAPOP localities did not match directly, generally because LAPOP reports the name of a locality located within a larger census municipality. For each of these cases, we identified the corresponding census municipality and recorded the correction in a hard-coded </w:t>
      </w:r>
      <w:r w:rsidRPr="00D36C7F">
        <w:rPr>
          <w:i/>
          <w:iCs/>
          <w:color w:val="auto"/>
          <w:sz w:val="22"/>
          <w:szCs w:val="22"/>
          <w:lang w:val="en-US"/>
        </w:rPr>
        <w:t>case_when</w:t>
      </w:r>
      <w:r w:rsidRPr="0049592F">
        <w:rPr>
          <w:color w:val="auto"/>
          <w:sz w:val="22"/>
          <w:szCs w:val="22"/>
          <w:lang w:val="en-US"/>
        </w:rPr>
        <w:t xml:space="preserve"> block. </w:t>
      </w:r>
      <w:r w:rsidRPr="0049592F">
        <w:rPr>
          <w:color w:val="auto"/>
          <w:sz w:val="22"/>
          <w:szCs w:val="22"/>
        </w:rPr>
        <w:t>Examples include SARANDÍ → AVELLANEDA in Buenos Aires, MAR DEL PLATA → GENERAL PUEYRREDÓN, SANTA ROSA → CAPITAL in La Pampa, and VILLA CARLOS PAZ → PUNILLA in Córdoba.</w:t>
      </w:r>
    </w:p>
    <w:p w14:paraId="7D39B56E" w14:textId="6F73F2B0" w:rsidR="00D36C7F" w:rsidRPr="00D36C7F" w:rsidRDefault="00D36C7F" w:rsidP="0049592F">
      <w:pPr>
        <w:pStyle w:val="Ttulo2"/>
        <w:spacing w:before="200" w:after="80" w:line="276" w:lineRule="auto"/>
        <w:jc w:val="both"/>
        <w:rPr>
          <w:color w:val="auto"/>
          <w:sz w:val="22"/>
          <w:szCs w:val="22"/>
          <w:lang w:val="en-US"/>
        </w:rPr>
      </w:pPr>
      <w:r w:rsidRPr="00D36C7F">
        <w:rPr>
          <w:color w:val="auto"/>
          <w:sz w:val="22"/>
          <w:szCs w:val="22"/>
          <w:lang w:val="en-US"/>
        </w:rPr>
        <w:t>This procedure allowed us to match all LAPOP locations to an IPUMS municipality, yielding 56 distinct municipality matches. Many Argentine municipalities are not represented in LAPOP because the survey is not designed to be representative at the municipality level.</w:t>
      </w:r>
    </w:p>
    <w:p w14:paraId="320CDB8C" w14:textId="43C183B5" w:rsidR="00790C6C" w:rsidRPr="00C5639E" w:rsidRDefault="00000000" w:rsidP="00031E5E">
      <w:pPr>
        <w:pStyle w:val="Ttulo2"/>
        <w:spacing w:before="200" w:after="80" w:line="276" w:lineRule="auto"/>
        <w:rPr>
          <w:lang w:val="en-US"/>
        </w:rPr>
      </w:pPr>
      <w:r w:rsidRPr="00C5639E">
        <w:rPr>
          <w:b/>
          <w:bCs/>
          <w:color w:val="2E75B6"/>
          <w:lang w:val="en-US"/>
        </w:rPr>
        <w:t>4.4 Final panel structure</w:t>
      </w:r>
    </w:p>
    <w:p w14:paraId="4FA037A0" w14:textId="77777777" w:rsidR="00585453" w:rsidRPr="00585453" w:rsidRDefault="00585453" w:rsidP="00585453">
      <w:pPr>
        <w:spacing w:before="60" w:after="60" w:line="276" w:lineRule="auto"/>
        <w:jc w:val="both"/>
        <w:rPr>
          <w:lang w:val="en-US"/>
        </w:rPr>
      </w:pPr>
      <w:r w:rsidRPr="00585453">
        <w:rPr>
          <w:b/>
          <w:bCs/>
          <w:lang w:val="en-US"/>
        </w:rPr>
        <w:t>Electoral analysis:</w:t>
      </w:r>
      <w:r w:rsidRPr="00585453">
        <w:rPr>
          <w:lang w:val="en-US"/>
        </w:rPr>
        <w:t xml:space="preserve"> Municipality × election year × election type (general or PASO), covering the 2011–2025 period. Elections are held every two years. The sample includes 312 municipalities.</w:t>
      </w:r>
    </w:p>
    <w:p w14:paraId="461C81F6" w14:textId="77777777" w:rsidR="00585453" w:rsidRPr="00585453" w:rsidRDefault="00585453" w:rsidP="00585453">
      <w:pPr>
        <w:spacing w:before="60" w:after="60" w:line="276" w:lineRule="auto"/>
        <w:jc w:val="both"/>
        <w:rPr>
          <w:lang w:val="en-US"/>
        </w:rPr>
      </w:pPr>
      <w:r w:rsidRPr="00585453">
        <w:rPr>
          <w:b/>
          <w:bCs/>
          <w:lang w:val="en-US"/>
        </w:rPr>
        <w:t>Migration analysis:</w:t>
      </w:r>
      <w:r w:rsidRPr="00585453">
        <w:rPr>
          <w:lang w:val="en-US"/>
        </w:rPr>
        <w:t xml:space="preserve"> Individual × LAPOP survey round (2012, 2014, 2017, 2019, and 2023). The sample covers 56 municipalities.</w:t>
      </w:r>
    </w:p>
    <w:p w14:paraId="53B37B84" w14:textId="34C41D3A" w:rsidR="00790C6C" w:rsidRPr="00585453" w:rsidRDefault="00585453" w:rsidP="00585453">
      <w:pPr>
        <w:spacing w:before="60" w:after="60" w:line="276" w:lineRule="auto"/>
        <w:jc w:val="both"/>
        <w:rPr>
          <w:lang w:val="en-US"/>
        </w:rPr>
      </w:pPr>
      <w:r w:rsidRPr="00585453">
        <w:rPr>
          <w:b/>
          <w:bCs/>
          <w:lang w:val="en-US"/>
        </w:rPr>
        <w:t xml:space="preserve">Post-reform indicator: </w:t>
      </w:r>
      <w:r w:rsidRPr="00585453">
        <w:rPr>
          <w:lang w:val="en-US"/>
        </w:rPr>
        <w:t>Equal to 1 for elections and survey rounds occurring after the 2022 reform, and 0 otherwise.</w:t>
      </w:r>
    </w:p>
    <w:sectPr w:rsidR="00790C6C" w:rsidRPr="0058545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ADC5BE4" w14:textId="77777777" w:rsidR="000B2A83" w:rsidRDefault="000B2A83" w:rsidP="000C3954">
      <w:r>
        <w:separator/>
      </w:r>
    </w:p>
  </w:endnote>
  <w:endnote w:type="continuationSeparator" w:id="0">
    <w:p w14:paraId="08184765" w14:textId="77777777" w:rsidR="000B2A83" w:rsidRDefault="000B2A83" w:rsidP="000C3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E6CF1F" w14:textId="77777777" w:rsidR="000B2A83" w:rsidRDefault="000B2A83" w:rsidP="000C3954">
      <w:r>
        <w:separator/>
      </w:r>
    </w:p>
  </w:footnote>
  <w:footnote w:type="continuationSeparator" w:id="0">
    <w:p w14:paraId="1F355074" w14:textId="77777777" w:rsidR="000B2A83" w:rsidRDefault="000B2A83" w:rsidP="000C3954">
      <w:r>
        <w:continuationSeparator/>
      </w:r>
    </w:p>
  </w:footnote>
  <w:footnote w:id="1">
    <w:p w14:paraId="18AA58AE" w14:textId="7001F705" w:rsidR="000C3954" w:rsidRPr="000C3954" w:rsidRDefault="000C3954" w:rsidP="000C3954">
      <w:pPr>
        <w:pStyle w:val="Textonotapie"/>
        <w:jc w:val="both"/>
        <w:rPr>
          <w:lang w:val="en-US"/>
        </w:rPr>
      </w:pPr>
      <w:r w:rsidRPr="000C3954">
        <w:rPr>
          <w:rStyle w:val="Refdenotaalpie"/>
          <w:lang w:val="en-US"/>
        </w:rPr>
        <w:footnoteRef/>
      </w:r>
      <w:r w:rsidRPr="000C3954">
        <w:rPr>
          <w:lang w:val="en-US"/>
        </w:rPr>
        <w:t xml:space="preserve"> The survey also includes a 2021 round</w:t>
      </w:r>
      <w:r>
        <w:rPr>
          <w:lang w:val="en-US"/>
        </w:rPr>
        <w:t xml:space="preserve"> for Argentina</w:t>
      </w:r>
      <w:r w:rsidRPr="000C3954">
        <w:rPr>
          <w:lang w:val="en-US"/>
        </w:rPr>
        <w:t>, but this round does not contain the question on migration intentions.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CD724E"/>
    <w:multiLevelType w:val="hybridMultilevel"/>
    <w:tmpl w:val="CFE669E6"/>
    <w:lvl w:ilvl="0" w:tplc="31F84C92">
      <w:start w:val="1"/>
      <w:numFmt w:val="bullet"/>
      <w:lvlText w:val="●"/>
      <w:lvlJc w:val="left"/>
      <w:pPr>
        <w:ind w:left="720" w:hanging="360"/>
      </w:pPr>
    </w:lvl>
    <w:lvl w:ilvl="1" w:tplc="F758A5E2">
      <w:start w:val="1"/>
      <w:numFmt w:val="bullet"/>
      <w:lvlText w:val="○"/>
      <w:lvlJc w:val="left"/>
      <w:pPr>
        <w:ind w:left="1440" w:hanging="360"/>
      </w:pPr>
    </w:lvl>
    <w:lvl w:ilvl="2" w:tplc="7CF41F60">
      <w:start w:val="1"/>
      <w:numFmt w:val="bullet"/>
      <w:lvlText w:val="■"/>
      <w:lvlJc w:val="left"/>
      <w:pPr>
        <w:ind w:left="2160" w:hanging="360"/>
      </w:pPr>
    </w:lvl>
    <w:lvl w:ilvl="3" w:tplc="F57EA8C4">
      <w:start w:val="1"/>
      <w:numFmt w:val="bullet"/>
      <w:lvlText w:val="●"/>
      <w:lvlJc w:val="left"/>
      <w:pPr>
        <w:ind w:left="2880" w:hanging="360"/>
      </w:pPr>
    </w:lvl>
    <w:lvl w:ilvl="4" w:tplc="1250E184">
      <w:start w:val="1"/>
      <w:numFmt w:val="bullet"/>
      <w:lvlText w:val="○"/>
      <w:lvlJc w:val="left"/>
      <w:pPr>
        <w:ind w:left="3600" w:hanging="360"/>
      </w:pPr>
    </w:lvl>
    <w:lvl w:ilvl="5" w:tplc="32FAFC0A">
      <w:start w:val="1"/>
      <w:numFmt w:val="bullet"/>
      <w:lvlText w:val="■"/>
      <w:lvlJc w:val="left"/>
      <w:pPr>
        <w:ind w:left="4320" w:hanging="360"/>
      </w:pPr>
    </w:lvl>
    <w:lvl w:ilvl="6" w:tplc="B4CECB0E">
      <w:start w:val="1"/>
      <w:numFmt w:val="bullet"/>
      <w:lvlText w:val="●"/>
      <w:lvlJc w:val="left"/>
      <w:pPr>
        <w:ind w:left="5040" w:hanging="360"/>
      </w:pPr>
    </w:lvl>
    <w:lvl w:ilvl="7" w:tplc="7DD856E2">
      <w:start w:val="1"/>
      <w:numFmt w:val="bullet"/>
      <w:lvlText w:val="●"/>
      <w:lvlJc w:val="left"/>
      <w:pPr>
        <w:ind w:left="5760" w:hanging="360"/>
      </w:pPr>
    </w:lvl>
    <w:lvl w:ilvl="8" w:tplc="B63494BC">
      <w:start w:val="1"/>
      <w:numFmt w:val="bullet"/>
      <w:lvlText w:val="●"/>
      <w:lvlJc w:val="left"/>
      <w:pPr>
        <w:ind w:left="6480" w:hanging="360"/>
      </w:pPr>
    </w:lvl>
  </w:abstractNum>
  <w:num w:numId="1" w16cid:durableId="38988494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C6C"/>
    <w:rsid w:val="00031E5E"/>
    <w:rsid w:val="00063A1F"/>
    <w:rsid w:val="000B2A83"/>
    <w:rsid w:val="000C3954"/>
    <w:rsid w:val="0011195D"/>
    <w:rsid w:val="00156C79"/>
    <w:rsid w:val="002122AF"/>
    <w:rsid w:val="0034283A"/>
    <w:rsid w:val="0049592F"/>
    <w:rsid w:val="004E632A"/>
    <w:rsid w:val="005359D4"/>
    <w:rsid w:val="00585453"/>
    <w:rsid w:val="0060591B"/>
    <w:rsid w:val="00775189"/>
    <w:rsid w:val="00790C6C"/>
    <w:rsid w:val="00C5639E"/>
    <w:rsid w:val="00D171F7"/>
    <w:rsid w:val="00D22452"/>
    <w:rsid w:val="00D36C7F"/>
    <w:rsid w:val="00EC76E8"/>
    <w:rsid w:val="00FB40D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0A9304CE"/>
  <w15:docId w15:val="{B5E4E1E9-640D-424C-B915-CF1809A42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Cambria" w:hAnsi="Cambria" w:cs="Cambria"/>
        <w:sz w:val="22"/>
        <w:szCs w:val="22"/>
        <w:lang w:val="es-AR"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Refdecomentario">
    <w:name w:val="annotation reference"/>
    <w:basedOn w:val="Fuentedeprrafopredeter"/>
    <w:uiPriority w:val="99"/>
    <w:semiHidden/>
    <w:unhideWhenUsed/>
    <w:rsid w:val="00C5639E"/>
    <w:rPr>
      <w:sz w:val="16"/>
      <w:szCs w:val="16"/>
    </w:rPr>
  </w:style>
  <w:style w:type="paragraph" w:styleId="Textocomentario">
    <w:name w:val="annotation text"/>
    <w:basedOn w:val="Normal"/>
    <w:link w:val="TextocomentarioCar"/>
    <w:uiPriority w:val="99"/>
    <w:semiHidden/>
    <w:unhideWhenUsed/>
    <w:rsid w:val="00C5639E"/>
    <w:rPr>
      <w:sz w:val="20"/>
      <w:szCs w:val="20"/>
    </w:rPr>
  </w:style>
  <w:style w:type="character" w:customStyle="1" w:styleId="TextocomentarioCar">
    <w:name w:val="Texto comentario Car"/>
    <w:basedOn w:val="Fuentedeprrafopredeter"/>
    <w:link w:val="Textocomentario"/>
    <w:uiPriority w:val="99"/>
    <w:semiHidden/>
    <w:rsid w:val="00C5639E"/>
    <w:rPr>
      <w:sz w:val="20"/>
      <w:szCs w:val="20"/>
    </w:rPr>
  </w:style>
  <w:style w:type="paragraph" w:styleId="Asuntodelcomentario">
    <w:name w:val="annotation subject"/>
    <w:basedOn w:val="Textocomentario"/>
    <w:next w:val="Textocomentario"/>
    <w:link w:val="AsuntodelcomentarioCar"/>
    <w:uiPriority w:val="99"/>
    <w:semiHidden/>
    <w:unhideWhenUsed/>
    <w:rsid w:val="00C5639E"/>
    <w:rPr>
      <w:b/>
      <w:bCs/>
    </w:rPr>
  </w:style>
  <w:style w:type="character" w:customStyle="1" w:styleId="AsuntodelcomentarioCar">
    <w:name w:val="Asunto del comentario Car"/>
    <w:basedOn w:val="TextocomentarioCar"/>
    <w:link w:val="Asuntodelcomentario"/>
    <w:uiPriority w:val="99"/>
    <w:semiHidden/>
    <w:rsid w:val="00C5639E"/>
    <w:rPr>
      <w:b/>
      <w:bCs/>
      <w:sz w:val="20"/>
      <w:szCs w:val="20"/>
    </w:rPr>
  </w:style>
  <w:style w:type="character" w:styleId="Mencinsinresolver">
    <w:name w:val="Unresolved Mention"/>
    <w:basedOn w:val="Fuentedeprrafopredeter"/>
    <w:uiPriority w:val="99"/>
    <w:semiHidden/>
    <w:unhideWhenUsed/>
    <w:rsid w:val="000C3954"/>
    <w:rPr>
      <w:color w:val="605E5C"/>
      <w:shd w:val="clear" w:color="auto" w:fill="E1DFDD"/>
    </w:rPr>
  </w:style>
  <w:style w:type="paragraph" w:customStyle="1" w:styleId="p1">
    <w:name w:val="p1"/>
    <w:basedOn w:val="Normal"/>
    <w:rsid w:val="00FB40D8"/>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atacp.ar/acerca-d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rgentinadatos.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ED9E2C-27C2-F045-BBF0-DDB58D6578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955</TotalTime>
  <Pages>4</Pages>
  <Words>1407</Words>
  <Characters>8376</Characters>
  <Application>Microsoft Office Word</Application>
  <DocSecurity>0</DocSecurity>
  <Lines>126</Lines>
  <Paragraphs>58</Paragraphs>
  <ScaleCrop>false</ScaleCrop>
  <HeadingPairs>
    <vt:vector size="2" baseType="variant">
      <vt:variant>
        <vt:lpstr>Título</vt:lpstr>
      </vt:variant>
      <vt:variant>
        <vt:i4>1</vt:i4>
      </vt:variant>
    </vt:vector>
  </HeadingPairs>
  <TitlesOfParts>
    <vt:vector size="1" baseType="lpstr">
      <vt:lpstr>Data and Variable Construction</vt:lpstr>
    </vt:vector>
  </TitlesOfParts>
  <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and Variable Construction</dc:title>
  <dc:creator>Paper nietos - data documentation</dc:creator>
  <cp:lastModifiedBy>Florencia ruiz</cp:lastModifiedBy>
  <cp:revision>8</cp:revision>
  <dcterms:created xsi:type="dcterms:W3CDTF">2026-07-12T13:12:00Z</dcterms:created>
  <dcterms:modified xsi:type="dcterms:W3CDTF">2026-07-16T20:42:00Z</dcterms:modified>
</cp:coreProperties>
</file>