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8E9BD03" w14:textId="77777777" w:rsidR="00790C6C" w:rsidRPr="00C5639E" w:rsidRDefault="00000000" w:rsidP="00031E5E">
      <w:pPr>
        <w:spacing w:after="120" w:line="276" w:lineRule="auto"/>
        <w:jc w:val="center"/>
        <w:rPr>
          <w:lang w:val="en-US"/>
        </w:rPr>
      </w:pPr>
      <w:r w:rsidRPr="00C5639E">
        <w:rPr>
          <w:b/>
          <w:bCs/>
          <w:sz w:val="40"/>
          <w:szCs w:val="40"/>
          <w:lang w:val="en-US"/>
        </w:rPr>
        <w:t>Data and Variable Construction</w:t>
      </w:r>
    </w:p>
    <w:p w14:paraId="3A05128D" w14:textId="77777777" w:rsidR="00790C6C" w:rsidRPr="00C5639E" w:rsidRDefault="00000000" w:rsidP="00031E5E">
      <w:pPr>
        <w:spacing w:after="240" w:line="276" w:lineRule="auto"/>
        <w:jc w:val="center"/>
        <w:rPr>
          <w:lang w:val="en-US"/>
        </w:rPr>
      </w:pPr>
      <w:r w:rsidRPr="00C5639E">
        <w:rPr>
          <w:i/>
          <w:iCs/>
          <w:color w:val="595959"/>
          <w:sz w:val="24"/>
          <w:szCs w:val="24"/>
          <w:lang w:val="en-US"/>
        </w:rPr>
        <w:t>External Citizenship and Political Response in Argentina</w:t>
      </w:r>
    </w:p>
    <w:p w14:paraId="6FA58BCD" w14:textId="3CD3146B" w:rsidR="00790C6C" w:rsidRPr="00C5639E" w:rsidRDefault="00000000" w:rsidP="00031E5E">
      <w:pPr>
        <w:spacing w:before="60" w:after="60" w:line="276" w:lineRule="auto"/>
        <w:jc w:val="both"/>
        <w:rPr>
          <w:lang w:val="en-US"/>
        </w:rPr>
      </w:pPr>
      <w:r w:rsidRPr="00C5639E">
        <w:rPr>
          <w:lang w:val="en-US"/>
        </w:rPr>
        <w:t xml:space="preserve">This document describes the databases we combine in the paper, the construction of the treatment variables and outcomes, the source of each variable, and how the datasets are merged. </w:t>
      </w:r>
    </w:p>
    <w:p w14:paraId="3CF13CD8" w14:textId="77777777" w:rsidR="00790C6C" w:rsidRPr="00C5639E" w:rsidRDefault="00000000" w:rsidP="00031E5E">
      <w:pPr>
        <w:pStyle w:val="Ttulo1"/>
        <w:spacing w:before="240" w:after="120" w:line="276" w:lineRule="auto"/>
        <w:rPr>
          <w:lang w:val="en-US"/>
        </w:rPr>
      </w:pPr>
      <w:r w:rsidRPr="00C5639E">
        <w:rPr>
          <w:b/>
          <w:bCs/>
          <w:color w:val="1F4E79"/>
          <w:lang w:val="en-US"/>
        </w:rPr>
        <w:t>1. Data Sources</w:t>
      </w:r>
    </w:p>
    <w:p w14:paraId="0DB81099" w14:textId="77777777" w:rsidR="00790C6C" w:rsidRPr="00C5639E" w:rsidRDefault="00000000" w:rsidP="00031E5E">
      <w:pPr>
        <w:pStyle w:val="Ttulo2"/>
        <w:spacing w:before="200" w:after="80" w:line="276" w:lineRule="auto"/>
        <w:rPr>
          <w:lang w:val="en-US"/>
        </w:rPr>
      </w:pPr>
      <w:r w:rsidRPr="00C5639E">
        <w:rPr>
          <w:b/>
          <w:bCs/>
          <w:color w:val="2E75B6"/>
          <w:lang w:val="en-US"/>
        </w:rPr>
        <w:t>1.1 Argentine Population Census (IPUMS 1970, 1980, 2010)</w:t>
      </w:r>
    </w:p>
    <w:p w14:paraId="69618729" w14:textId="4D78D6FF" w:rsidR="00790C6C" w:rsidRPr="00C5639E" w:rsidRDefault="00000000" w:rsidP="00031E5E">
      <w:pPr>
        <w:spacing w:before="60" w:after="60" w:line="276" w:lineRule="auto"/>
        <w:jc w:val="both"/>
        <w:rPr>
          <w:lang w:val="en-US"/>
        </w:rPr>
      </w:pPr>
      <w:r w:rsidRPr="00C5639E">
        <w:rPr>
          <w:lang w:val="en-US"/>
        </w:rPr>
        <w:t>Argentine census microdata harmonized by IPUMS International, at the individual level. Provides information on country of birth, year of arrival in the country, current municipality, sex, age, education attained, employment status,</w:t>
      </w:r>
      <w:r w:rsidR="00C5639E">
        <w:rPr>
          <w:lang w:val="en-US"/>
        </w:rPr>
        <w:t xml:space="preserve"> etc</w:t>
      </w:r>
      <w:r w:rsidRPr="00C5639E">
        <w:rPr>
          <w:lang w:val="en-US"/>
        </w:rPr>
        <w:t>. Census sampling weights</w:t>
      </w:r>
      <w:r w:rsidR="000C3954">
        <w:rPr>
          <w:lang w:val="en-US"/>
        </w:rPr>
        <w:t xml:space="preserve"> </w:t>
      </w:r>
      <w:r w:rsidRPr="00C5639E">
        <w:rPr>
          <w:lang w:val="en-US"/>
        </w:rPr>
        <w:t>allow us to recover municipality-level aggregates.</w:t>
      </w:r>
    </w:p>
    <w:p w14:paraId="5D8B17F8" w14:textId="77777777" w:rsidR="00790C6C" w:rsidRPr="00C5639E" w:rsidRDefault="00000000" w:rsidP="00031E5E">
      <w:pPr>
        <w:spacing w:before="60" w:after="60" w:line="276" w:lineRule="auto"/>
        <w:jc w:val="both"/>
        <w:rPr>
          <w:lang w:val="en-US"/>
        </w:rPr>
      </w:pPr>
      <w:r w:rsidRPr="00C5639E">
        <w:rPr>
          <w:b/>
          <w:bCs/>
          <w:lang w:val="en-US"/>
        </w:rPr>
        <w:t>Role in the paper:</w:t>
      </w:r>
      <w:r w:rsidRPr="00C5639E">
        <w:rPr>
          <w:lang w:val="en-US"/>
        </w:rPr>
        <w:t xml:space="preserve"> the 1970 census identifies Spanish immigrants who arrived between 1936-1955; the 1980 census identifies those who arrived between 1956-1978; the 2010 census provides pre-treatment municipal covariates (population density, education, age structure, employment, gender composition).</w:t>
      </w:r>
    </w:p>
    <w:p w14:paraId="35B594B6" w14:textId="77777777" w:rsidR="00790C6C" w:rsidRPr="000C3954" w:rsidRDefault="00000000" w:rsidP="00031E5E">
      <w:pPr>
        <w:pStyle w:val="Ttulo2"/>
        <w:spacing w:before="200" w:after="80" w:line="276" w:lineRule="auto"/>
      </w:pPr>
      <w:r w:rsidRPr="000C3954">
        <w:rPr>
          <w:b/>
          <w:bCs/>
          <w:color w:val="2E75B6"/>
        </w:rPr>
        <w:t>1.2 Electoral Public Data — Camara Nacional Electoral</w:t>
      </w:r>
    </w:p>
    <w:p w14:paraId="1216D2CD" w14:textId="74EC2E4F" w:rsidR="00790C6C" w:rsidRPr="00C5639E" w:rsidRDefault="00000000" w:rsidP="00031E5E">
      <w:pPr>
        <w:spacing w:before="60" w:after="60" w:line="276" w:lineRule="auto"/>
        <w:jc w:val="both"/>
        <w:rPr>
          <w:lang w:val="en-US"/>
        </w:rPr>
      </w:pPr>
      <w:r w:rsidRPr="00C5639E">
        <w:rPr>
          <w:lang w:val="en-US"/>
        </w:rPr>
        <w:t>Detailed electoral results for national legislative elections (Chamber of Deputies) between 2011 and 2025. For each electoral section, the data include the total number of registered voters, votes cast, votes received by each political party, blank votes and null votes.</w:t>
      </w:r>
      <w:r w:rsidR="0011195D">
        <w:rPr>
          <w:lang w:val="en-US"/>
        </w:rPr>
        <w:t xml:space="preserve"> </w:t>
      </w:r>
      <w:r w:rsidR="0011195D" w:rsidRPr="0011195D">
        <w:rPr>
          <w:lang w:val="en-US"/>
        </w:rPr>
        <w:t>The original data are provided at the electoral-section level and are aggregated to the municipality level for the analysis. Electoral sections are generally smaller than municipalities, although in some cases the two geographic units coincide.</w:t>
      </w:r>
    </w:p>
    <w:p w14:paraId="10A1BD4B" w14:textId="1FD2E7B0" w:rsidR="00790C6C" w:rsidRPr="00C5639E" w:rsidRDefault="00000000" w:rsidP="00031E5E">
      <w:pPr>
        <w:spacing w:before="60" w:after="60" w:line="276" w:lineRule="auto"/>
        <w:jc w:val="both"/>
        <w:rPr>
          <w:lang w:val="en-US"/>
        </w:rPr>
      </w:pPr>
      <w:r w:rsidRPr="00C5639E">
        <w:rPr>
          <w:b/>
          <w:bCs/>
          <w:lang w:val="en-US"/>
        </w:rPr>
        <w:t>Sources:</w:t>
      </w:r>
      <w:r w:rsidRPr="00C5639E">
        <w:rPr>
          <w:lang w:val="en-US"/>
        </w:rPr>
        <w:t xml:space="preserve"> </w:t>
      </w:r>
      <w:r w:rsidR="000C3954" w:rsidRPr="000C3954">
        <w:rPr>
          <w:lang w:val="en-US"/>
        </w:rPr>
        <w:t xml:space="preserve">Source: The data were downloaded from </w:t>
      </w:r>
      <w:hyperlink r:id="rId8" w:history="1">
        <w:r w:rsidR="000C3954" w:rsidRPr="000C3954">
          <w:rPr>
            <w:rStyle w:val="Hipervnculo"/>
            <w:lang w:val="en-US"/>
          </w:rPr>
          <w:t>DataCP</w:t>
        </w:r>
      </w:hyperlink>
      <w:r w:rsidR="000C3954" w:rsidRPr="000C3954">
        <w:rPr>
          <w:lang w:val="en-US"/>
        </w:rPr>
        <w:t xml:space="preserve">, an open-access electoral data platform developed by the University of Buenos Aires. The platform provides free access to electoral results and includes the corresponding municipality-level shapefiles, allowing the electoral data to be spatially matched to municipal boundaries. DataCP compiles information from the National Electoral Directorate and the National Electoral Chamber, as well as APIs for the Chamber of Deputies and the Senate published on </w:t>
      </w:r>
      <w:hyperlink r:id="rId9" w:history="1">
        <w:r w:rsidR="000C3954" w:rsidRPr="000C3954">
          <w:rPr>
            <w:rStyle w:val="Hipervnculo"/>
            <w:lang w:val="en-US"/>
          </w:rPr>
          <w:t>Argentina Datos</w:t>
        </w:r>
      </w:hyperlink>
      <w:r w:rsidR="000C3954">
        <w:rPr>
          <w:lang w:val="en-US"/>
        </w:rPr>
        <w:t>.</w:t>
      </w:r>
    </w:p>
    <w:p w14:paraId="4E01113F" w14:textId="70186222" w:rsidR="00790C6C" w:rsidRPr="00C5639E" w:rsidRDefault="00000000" w:rsidP="00031E5E">
      <w:pPr>
        <w:pStyle w:val="Ttulo2"/>
        <w:spacing w:before="200" w:after="80" w:line="276" w:lineRule="auto"/>
        <w:rPr>
          <w:lang w:val="en-US"/>
        </w:rPr>
      </w:pPr>
      <w:r w:rsidRPr="00C5639E">
        <w:rPr>
          <w:b/>
          <w:bCs/>
          <w:color w:val="2E75B6"/>
          <w:lang w:val="en-US"/>
        </w:rPr>
        <w:t>1.</w:t>
      </w:r>
      <w:r w:rsidR="00C5639E">
        <w:rPr>
          <w:b/>
          <w:bCs/>
          <w:color w:val="2E75B6"/>
          <w:lang w:val="en-US"/>
        </w:rPr>
        <w:t>3</w:t>
      </w:r>
      <w:r w:rsidRPr="00C5639E">
        <w:rPr>
          <w:b/>
          <w:bCs/>
          <w:color w:val="2E75B6"/>
          <w:lang w:val="en-US"/>
        </w:rPr>
        <w:t xml:space="preserve"> LAPOP AmericasBarometer</w:t>
      </w:r>
    </w:p>
    <w:p w14:paraId="19FF77CE" w14:textId="64132C2A" w:rsidR="00790C6C" w:rsidRPr="00C5639E" w:rsidRDefault="00000000" w:rsidP="00031E5E">
      <w:pPr>
        <w:spacing w:before="60" w:after="60" w:line="276" w:lineRule="auto"/>
        <w:jc w:val="both"/>
        <w:rPr>
          <w:lang w:val="en-US"/>
        </w:rPr>
      </w:pPr>
      <w:r w:rsidRPr="00C5639E">
        <w:rPr>
          <w:lang w:val="en-US"/>
        </w:rPr>
        <w:t>Repeated cross-section survey (rounds 2012, 2014, 2017, 2019 and 2023)</w:t>
      </w:r>
      <w:r w:rsidR="000C3954">
        <w:rPr>
          <w:rStyle w:val="Refdenotaalpie"/>
          <w:lang w:val="en-US"/>
        </w:rPr>
        <w:footnoteReference w:id="1"/>
      </w:r>
      <w:r w:rsidRPr="00C5639E">
        <w:rPr>
          <w:lang w:val="en-US"/>
        </w:rPr>
        <w:t xml:space="preserve"> with individual-level information on political attitudes, migration intentions, ideology, party identification, community involvement, </w:t>
      </w:r>
      <w:r w:rsidR="004E632A">
        <w:rPr>
          <w:lang w:val="en-US"/>
        </w:rPr>
        <w:t xml:space="preserve">interest in politics, </w:t>
      </w:r>
      <w:r w:rsidRPr="00C5639E">
        <w:rPr>
          <w:lang w:val="en-US"/>
        </w:rPr>
        <w:t>and demographic characteristics. Includes municipality and province identifiers used to link with the census.</w:t>
      </w:r>
    </w:p>
    <w:p w14:paraId="3EDA49CE" w14:textId="77777777" w:rsidR="00790C6C" w:rsidRPr="00C5639E" w:rsidRDefault="00000000" w:rsidP="00031E5E">
      <w:pPr>
        <w:pStyle w:val="Ttulo1"/>
        <w:spacing w:before="240" w:after="120" w:line="276" w:lineRule="auto"/>
        <w:rPr>
          <w:lang w:val="en-US"/>
        </w:rPr>
      </w:pPr>
      <w:r w:rsidRPr="00C5639E">
        <w:rPr>
          <w:b/>
          <w:bCs/>
          <w:color w:val="1F4E79"/>
          <w:lang w:val="en-US"/>
        </w:rPr>
        <w:lastRenderedPageBreak/>
        <w:t>2. Treatment Variables</w:t>
      </w:r>
    </w:p>
    <w:p w14:paraId="574E326F" w14:textId="08C3345A" w:rsidR="00790C6C" w:rsidRPr="00C5639E" w:rsidRDefault="00000000" w:rsidP="00031E5E">
      <w:pPr>
        <w:spacing w:before="60" w:after="60" w:line="276" w:lineRule="auto"/>
        <w:jc w:val="both"/>
        <w:rPr>
          <w:lang w:val="en-US"/>
        </w:rPr>
      </w:pPr>
      <w:r w:rsidRPr="00C5639E">
        <w:rPr>
          <w:lang w:val="en-US"/>
        </w:rPr>
        <w:t xml:space="preserve">The two treatment variables measure historical Spanish exposure by arrival window at the municipal level, expressed as a percentage of the municipal population at the corresponding census. </w:t>
      </w:r>
    </w:p>
    <w:p w14:paraId="6DF1BAEA" w14:textId="77777777" w:rsidR="00790C6C" w:rsidRPr="00C5639E" w:rsidRDefault="00000000" w:rsidP="00031E5E">
      <w:pPr>
        <w:pStyle w:val="Ttulo2"/>
        <w:spacing w:before="200" w:after="80" w:line="276" w:lineRule="auto"/>
        <w:rPr>
          <w:lang w:val="en-US"/>
        </w:rPr>
      </w:pPr>
      <w:r w:rsidRPr="00C5639E">
        <w:rPr>
          <w:b/>
          <w:bCs/>
          <w:color w:val="2E75B6"/>
          <w:lang w:val="en-US"/>
        </w:rPr>
        <w:t>2.1 share_1936_1955</w:t>
      </w:r>
    </w:p>
    <w:p w14:paraId="6D9CA71B" w14:textId="2FDCE64E" w:rsidR="00790C6C" w:rsidRPr="00C5639E" w:rsidRDefault="00000000" w:rsidP="00031E5E">
      <w:pPr>
        <w:spacing w:before="60" w:after="60" w:line="276" w:lineRule="auto"/>
        <w:jc w:val="both"/>
        <w:rPr>
          <w:lang w:val="en-US"/>
        </w:rPr>
      </w:pPr>
      <w:r w:rsidRPr="00C5639E">
        <w:rPr>
          <w:lang w:val="en-US"/>
        </w:rPr>
        <w:t xml:space="preserve">Built from the 1970 Argentine census. For each municipality </w:t>
      </w:r>
      <w:r w:rsidRPr="00C5639E">
        <w:rPr>
          <w:i/>
          <w:iCs/>
          <w:lang w:val="en-US"/>
        </w:rPr>
        <w:t>m</w:t>
      </w:r>
      <w:r w:rsidRPr="00C5639E">
        <w:rPr>
          <w:lang w:val="en-US"/>
        </w:rPr>
        <w:t xml:space="preserve"> we count Spanish-born individuals with year of arrival between 1936 and 1955, applying census sampling weights. Formally:</w:t>
      </w:r>
    </w:p>
    <w:p w14:paraId="2DC399A4" w14:textId="5FC4445C" w:rsidR="00790C6C" w:rsidRPr="00C5639E" w:rsidRDefault="00000000" w:rsidP="00031E5E">
      <w:pPr>
        <w:spacing w:before="60" w:after="60" w:line="276" w:lineRule="auto"/>
        <w:jc w:val="both"/>
        <w:rPr>
          <w:lang w:val="en-US"/>
        </w:rPr>
      </w:pPr>
      <w:r w:rsidRPr="00C5639E">
        <w:rPr>
          <w:i/>
          <w:iCs/>
          <w:lang w:val="en-US"/>
        </w:rPr>
        <w:t>share_1936_1955 = 100 x (spanish-born arrived 1936-1955, weighted count) / (total 1970 municipal population</w:t>
      </w:r>
      <w:r w:rsidR="00C5639E">
        <w:rPr>
          <w:i/>
          <w:iCs/>
          <w:lang w:val="en-US"/>
        </w:rPr>
        <w:t xml:space="preserve">, </w:t>
      </w:r>
      <w:r w:rsidR="00C5639E" w:rsidRPr="00C5639E">
        <w:rPr>
          <w:i/>
          <w:iCs/>
          <w:lang w:val="en-US"/>
        </w:rPr>
        <w:t>weighted count</w:t>
      </w:r>
      <w:r w:rsidRPr="00C5639E">
        <w:rPr>
          <w:i/>
          <w:iCs/>
          <w:lang w:val="en-US"/>
        </w:rPr>
        <w:t>).</w:t>
      </w:r>
    </w:p>
    <w:p w14:paraId="010A2FF7" w14:textId="77777777" w:rsidR="00790C6C" w:rsidRPr="00C5639E" w:rsidRDefault="00000000" w:rsidP="00031E5E">
      <w:pPr>
        <w:pStyle w:val="Ttulo2"/>
        <w:spacing w:before="200" w:after="80" w:line="276" w:lineRule="auto"/>
        <w:rPr>
          <w:lang w:val="en-US"/>
        </w:rPr>
      </w:pPr>
      <w:r w:rsidRPr="00C5639E">
        <w:rPr>
          <w:b/>
          <w:bCs/>
          <w:color w:val="2E75B6"/>
          <w:lang w:val="en-US"/>
        </w:rPr>
        <w:t>2.2 share_1956_1978</w:t>
      </w:r>
    </w:p>
    <w:p w14:paraId="7EDEC110" w14:textId="77777777" w:rsidR="00790C6C" w:rsidRPr="00C5639E" w:rsidRDefault="00000000" w:rsidP="00031E5E">
      <w:pPr>
        <w:spacing w:before="60" w:after="60" w:line="276" w:lineRule="auto"/>
        <w:jc w:val="both"/>
        <w:rPr>
          <w:lang w:val="en-US"/>
        </w:rPr>
      </w:pPr>
      <w:r w:rsidRPr="00C5639E">
        <w:rPr>
          <w:lang w:val="en-US"/>
        </w:rPr>
        <w:t>Built analogously from the 1980 census: Spanish-born individuals with year of arrival between 1956 and 1978, divided by the 1980 total municipal population, times 100.</w:t>
      </w:r>
    </w:p>
    <w:p w14:paraId="42A174B4" w14:textId="77777777" w:rsidR="00790C6C" w:rsidRPr="00C5639E" w:rsidRDefault="00000000" w:rsidP="00031E5E">
      <w:pPr>
        <w:pStyle w:val="Ttulo2"/>
        <w:spacing w:before="200" w:after="80" w:line="276" w:lineRule="auto"/>
        <w:rPr>
          <w:lang w:val="en-US"/>
        </w:rPr>
      </w:pPr>
      <w:r w:rsidRPr="00C5639E">
        <w:rPr>
          <w:b/>
          <w:bCs/>
          <w:color w:val="2E75B6"/>
          <w:lang w:val="en-US"/>
        </w:rPr>
        <w:t>2.3 Pooled treatment (single-census construction)</w:t>
      </w:r>
    </w:p>
    <w:p w14:paraId="3B307F51" w14:textId="77777777" w:rsidR="0011195D" w:rsidRDefault="0011195D" w:rsidP="00031E5E">
      <w:pPr>
        <w:pStyle w:val="Ttulo2"/>
        <w:spacing w:before="200" w:after="80" w:line="276" w:lineRule="auto"/>
        <w:jc w:val="both"/>
        <w:rPr>
          <w:color w:val="auto"/>
          <w:sz w:val="22"/>
          <w:szCs w:val="22"/>
          <w:lang w:val="en-US"/>
        </w:rPr>
      </w:pPr>
      <w:r w:rsidRPr="0011195D">
        <w:rPr>
          <w:color w:val="auto"/>
          <w:sz w:val="22"/>
          <w:szCs w:val="22"/>
          <w:lang w:val="en-US"/>
        </w:rPr>
        <w:t>For robustness checks, we also construct measures of the share of the Spanish-born population without separating arrivals into different migration windows (share_36_78_c70 and share_36_78_c80). These variables pool arrivals into a single broad period using either the 1970 or the 1980 census, respectively. The 1970-based measure captures arrivals between 1936 and 1970, whereas the 1980-based measure captures arrivals over the full 1936–1978 period.</w:t>
      </w:r>
    </w:p>
    <w:p w14:paraId="4E4E70C9" w14:textId="77777777" w:rsidR="00790C6C" w:rsidRPr="00C5639E" w:rsidRDefault="00000000" w:rsidP="00031E5E">
      <w:pPr>
        <w:pStyle w:val="Ttulo1"/>
        <w:spacing w:before="240" w:after="120" w:line="276" w:lineRule="auto"/>
        <w:rPr>
          <w:lang w:val="en-US"/>
        </w:rPr>
      </w:pPr>
      <w:r w:rsidRPr="00C5639E">
        <w:rPr>
          <w:b/>
          <w:bCs/>
          <w:color w:val="1F4E79"/>
          <w:lang w:val="en-US"/>
        </w:rPr>
        <w:t>3. Outcomes</w:t>
      </w:r>
    </w:p>
    <w:p w14:paraId="3249B346" w14:textId="77777777" w:rsidR="00790C6C" w:rsidRPr="00C5639E" w:rsidRDefault="00000000" w:rsidP="00031E5E">
      <w:pPr>
        <w:pStyle w:val="Ttulo2"/>
        <w:spacing w:before="200" w:after="80" w:line="276" w:lineRule="auto"/>
        <w:rPr>
          <w:lang w:val="en-US"/>
        </w:rPr>
      </w:pPr>
      <w:r w:rsidRPr="00C5639E">
        <w:rPr>
          <w:b/>
          <w:bCs/>
          <w:color w:val="2E75B6"/>
          <w:lang w:val="en-US"/>
        </w:rPr>
        <w:t>3.1 Electoral outcomes (municipal x election year x election type)</w:t>
      </w:r>
    </w:p>
    <w:p w14:paraId="506F5F9E" w14:textId="47BF1CE3" w:rsidR="00790C6C" w:rsidRPr="00C5639E" w:rsidRDefault="00000000" w:rsidP="00031E5E">
      <w:pPr>
        <w:spacing w:before="60" w:after="60" w:line="276" w:lineRule="auto"/>
        <w:jc w:val="both"/>
        <w:rPr>
          <w:lang w:val="en-US"/>
        </w:rPr>
      </w:pPr>
      <w:r w:rsidRPr="00C5639E">
        <w:rPr>
          <w:b/>
          <w:bCs/>
          <w:lang w:val="en-US"/>
        </w:rPr>
        <w:t>Source:</w:t>
      </w:r>
      <w:r w:rsidRPr="00C5639E">
        <w:rPr>
          <w:lang w:val="en-US"/>
        </w:rPr>
        <w:t xml:space="preserve"> </w:t>
      </w:r>
      <w:r w:rsidR="0011195D">
        <w:rPr>
          <w:lang w:val="en-US"/>
        </w:rPr>
        <w:t>DATA CP.</w:t>
      </w:r>
      <w:r w:rsidRPr="00C5639E">
        <w:rPr>
          <w:lang w:val="en-US"/>
        </w:rPr>
        <w:t xml:space="preserve"> National legislative elections (Chamber of Deputies) for 2011, 2013, 2015, 2017, 2019, 2021, 2023 and 2025. Unit of observation: municipality</w:t>
      </w:r>
      <w:r w:rsidR="0011195D">
        <w:rPr>
          <w:lang w:val="en-US"/>
        </w:rPr>
        <w:t xml:space="preserve"> </w:t>
      </w:r>
      <w:r w:rsidRPr="00C5639E">
        <w:rPr>
          <w:lang w:val="en-US"/>
        </w:rPr>
        <w:t>by year by election type (General or PASO).</w:t>
      </w:r>
    </w:p>
    <w:p w14:paraId="5BB40C69" w14:textId="2B1F452C" w:rsidR="00790C6C" w:rsidRPr="00C5639E" w:rsidRDefault="00000000" w:rsidP="00031E5E">
      <w:pPr>
        <w:spacing w:before="60" w:after="60" w:line="276" w:lineRule="auto"/>
        <w:jc w:val="both"/>
        <w:rPr>
          <w:lang w:val="en-US"/>
        </w:rPr>
      </w:pPr>
      <w:r w:rsidRPr="00C5639E">
        <w:rPr>
          <w:b/>
          <w:bCs/>
          <w:lang w:val="en-US"/>
        </w:rPr>
        <w:t>Blank vote share.</w:t>
      </w:r>
      <w:r w:rsidRPr="00C5639E">
        <w:rPr>
          <w:lang w:val="en-US"/>
        </w:rPr>
        <w:t xml:space="preserve"> Ratio of blank votes over votes cast in the section, in percent. </w:t>
      </w:r>
    </w:p>
    <w:p w14:paraId="254CF415" w14:textId="259C9AA1" w:rsidR="00790C6C" w:rsidRPr="00C5639E" w:rsidRDefault="00000000" w:rsidP="00031E5E">
      <w:pPr>
        <w:spacing w:before="60" w:after="60" w:line="276" w:lineRule="auto"/>
        <w:jc w:val="both"/>
        <w:rPr>
          <w:lang w:val="en-US"/>
        </w:rPr>
      </w:pPr>
      <w:r w:rsidRPr="00C5639E">
        <w:rPr>
          <w:b/>
          <w:bCs/>
          <w:lang w:val="en-US"/>
        </w:rPr>
        <w:t>Voter turnout</w:t>
      </w:r>
      <w:r w:rsidR="00C5639E">
        <w:rPr>
          <w:b/>
          <w:bCs/>
          <w:lang w:val="en-US"/>
        </w:rPr>
        <w:t xml:space="preserve">. </w:t>
      </w:r>
      <w:r w:rsidRPr="00C5639E">
        <w:rPr>
          <w:lang w:val="en-US"/>
        </w:rPr>
        <w:t xml:space="preserve">Ratio of votes cast over registered voters in the section. </w:t>
      </w:r>
    </w:p>
    <w:p w14:paraId="143C9E9A" w14:textId="32522236" w:rsidR="00790C6C" w:rsidRPr="00C5639E" w:rsidRDefault="00000000" w:rsidP="00031E5E">
      <w:pPr>
        <w:spacing w:before="60" w:after="60" w:line="276" w:lineRule="auto"/>
        <w:jc w:val="both"/>
        <w:rPr>
          <w:lang w:val="en-US"/>
        </w:rPr>
      </w:pPr>
      <w:r w:rsidRPr="00C5639E">
        <w:rPr>
          <w:b/>
          <w:bCs/>
          <w:lang w:val="en-US"/>
        </w:rPr>
        <w:t>Ideological vote shares.</w:t>
      </w:r>
      <w:r w:rsidRPr="00C5639E">
        <w:rPr>
          <w:lang w:val="en-US"/>
        </w:rPr>
        <w:t xml:space="preserve"> </w:t>
      </w:r>
      <w:r w:rsidR="0011195D" w:rsidRPr="0011195D">
        <w:rPr>
          <w:lang w:val="en-US"/>
        </w:rPr>
        <w:t xml:space="preserve">Each party running for the Chamber of Deputies is classified into five ideological blocs (left, center-left, center, center-right, and right) and </w:t>
      </w:r>
      <w:r w:rsidR="0034283A" w:rsidRPr="0011195D">
        <w:rPr>
          <w:lang w:val="en-US"/>
        </w:rPr>
        <w:t>two-party</w:t>
      </w:r>
      <w:r w:rsidR="0011195D" w:rsidRPr="0011195D">
        <w:rPr>
          <w:lang w:val="en-US"/>
        </w:rPr>
        <w:t xml:space="preserve"> families (Peronist and Radical). The classification covers approximately 540 unique parties competing between 2011 and 2025 and was conducted manually with the assistance of AI</w:t>
      </w:r>
      <w:r w:rsidR="0011195D">
        <w:rPr>
          <w:lang w:val="en-US"/>
        </w:rPr>
        <w:t xml:space="preserve"> </w:t>
      </w:r>
      <w:r w:rsidR="0011195D" w:rsidRPr="0011195D">
        <w:rPr>
          <w:lang w:val="en-US"/>
        </w:rPr>
        <w:t>.</w:t>
      </w:r>
      <w:r w:rsidRPr="00C5639E">
        <w:rPr>
          <w:lang w:val="en-US"/>
        </w:rPr>
        <w:t>The vote share of each ideological bloc is computed at the</w:t>
      </w:r>
      <w:r w:rsidR="0011195D">
        <w:rPr>
          <w:lang w:val="en-US"/>
        </w:rPr>
        <w:t xml:space="preserve"> municipality-</w:t>
      </w:r>
      <w:r w:rsidRPr="00C5639E">
        <w:rPr>
          <w:lang w:val="en-US"/>
        </w:rPr>
        <w:t>election level as a percentage of valid votes</w:t>
      </w:r>
      <w:r w:rsidR="0011195D">
        <w:rPr>
          <w:lang w:val="en-US"/>
        </w:rPr>
        <w:t xml:space="preserve"> (excluding</w:t>
      </w:r>
      <w:r w:rsidR="0034283A">
        <w:rPr>
          <w:lang w:val="en-US"/>
        </w:rPr>
        <w:t xml:space="preserve"> </w:t>
      </w:r>
      <w:r w:rsidR="0034283A" w:rsidRPr="0034283A">
        <w:rPr>
          <w:lang w:val="en-US"/>
        </w:rPr>
        <w:t>blank, null, and challenged ballots</w:t>
      </w:r>
      <w:r w:rsidR="0011195D">
        <w:rPr>
          <w:lang w:val="en-US"/>
        </w:rPr>
        <w:t>)</w:t>
      </w:r>
      <w:r w:rsidRPr="00C5639E">
        <w:rPr>
          <w:lang w:val="en-US"/>
        </w:rPr>
        <w:t xml:space="preserve">. </w:t>
      </w:r>
      <w:r w:rsidR="0034283A" w:rsidRPr="0034283A">
        <w:rPr>
          <w:lang w:val="en-US"/>
        </w:rPr>
        <w:t>We additionally construct broad-left and broad-right vote shares by summing the vote shares of left and center-left parties, and of right and center-right parties, respectively.</w:t>
      </w:r>
    </w:p>
    <w:p w14:paraId="5057BE0A" w14:textId="3697E2D8" w:rsidR="0034283A" w:rsidRDefault="00000000" w:rsidP="00031E5E">
      <w:pPr>
        <w:spacing w:before="60" w:after="60" w:line="276" w:lineRule="auto"/>
        <w:jc w:val="both"/>
        <w:rPr>
          <w:lang w:val="en-US"/>
        </w:rPr>
      </w:pPr>
      <w:r w:rsidRPr="00C5639E">
        <w:rPr>
          <w:b/>
          <w:bCs/>
          <w:lang w:val="en-US"/>
        </w:rPr>
        <w:t>Incumbency and electoral dynamics.</w:t>
      </w:r>
      <w:r w:rsidRPr="00C5639E">
        <w:rPr>
          <w:lang w:val="en-US"/>
        </w:rPr>
        <w:t xml:space="preserve"> For each election year we identify which party in the section represents the incumbent national government (Kirchnerismo 2011-2015, Cambiemos 2017, JxC </w:t>
      </w:r>
      <w:r w:rsidRPr="00C5639E">
        <w:rPr>
          <w:lang w:val="en-US"/>
        </w:rPr>
        <w:lastRenderedPageBreak/>
        <w:t>2019, Frente de Todos 2021, Union por la Patria 2023, La Libertad Avanza 2025). From this we build incumbent vote share</w:t>
      </w:r>
      <w:r w:rsidR="004E632A">
        <w:rPr>
          <w:lang w:val="en-US"/>
        </w:rPr>
        <w:t xml:space="preserve">, </w:t>
      </w:r>
      <w:r w:rsidR="004E632A" w:rsidRPr="00C5639E">
        <w:rPr>
          <w:lang w:val="en-US"/>
        </w:rPr>
        <w:t>as a percentage of valid votes</w:t>
      </w:r>
      <w:r w:rsidR="004E632A">
        <w:rPr>
          <w:lang w:val="en-US"/>
        </w:rPr>
        <w:t xml:space="preserve"> (excluding </w:t>
      </w:r>
      <w:r w:rsidR="004E632A" w:rsidRPr="0034283A">
        <w:rPr>
          <w:lang w:val="en-US"/>
        </w:rPr>
        <w:t>blank, null, and challenged ballots</w:t>
      </w:r>
      <w:r w:rsidR="004E632A">
        <w:rPr>
          <w:lang w:val="en-US"/>
        </w:rPr>
        <w:t>)</w:t>
      </w:r>
      <w:r w:rsidR="004E632A" w:rsidRPr="00C5639E">
        <w:rPr>
          <w:lang w:val="en-US"/>
        </w:rPr>
        <w:t>.</w:t>
      </w:r>
    </w:p>
    <w:p w14:paraId="293CAE27" w14:textId="2BA2A492" w:rsidR="0034283A" w:rsidRPr="004E632A" w:rsidRDefault="0034283A" w:rsidP="00031E5E">
      <w:pPr>
        <w:spacing w:before="60" w:after="60" w:line="276" w:lineRule="auto"/>
        <w:jc w:val="both"/>
        <w:rPr>
          <w:lang w:val="en-US"/>
        </w:rPr>
      </w:pPr>
      <w:r>
        <w:rPr>
          <w:b/>
          <w:bCs/>
          <w:lang w:val="en-US"/>
        </w:rPr>
        <w:t xml:space="preserve">Ideological </w:t>
      </w:r>
      <w:r w:rsidRPr="0034283A">
        <w:rPr>
          <w:b/>
          <w:bCs/>
          <w:lang w:val="en-US"/>
        </w:rPr>
        <w:t>alternation</w:t>
      </w:r>
      <w:r>
        <w:rPr>
          <w:b/>
          <w:bCs/>
          <w:lang w:val="en-US"/>
        </w:rPr>
        <w:t>.</w:t>
      </w:r>
      <w:r w:rsidR="004E632A" w:rsidRPr="004E632A">
        <w:rPr>
          <w:b/>
          <w:bCs/>
          <w:lang w:val="en-US"/>
        </w:rPr>
        <w:t xml:space="preserve"> </w:t>
      </w:r>
      <w:r w:rsidR="004E632A" w:rsidRPr="004E632A">
        <w:rPr>
          <w:lang w:val="en-US"/>
        </w:rPr>
        <w:t>Dummy variable indicating</w:t>
      </w:r>
      <w:r w:rsidR="004E632A">
        <w:rPr>
          <w:b/>
          <w:bCs/>
          <w:lang w:val="en-US"/>
        </w:rPr>
        <w:t xml:space="preserve"> </w:t>
      </w:r>
      <w:r w:rsidR="004E632A" w:rsidRPr="004E632A">
        <w:rPr>
          <w:lang w:val="en-US"/>
        </w:rPr>
        <w:t>whether the winning ideological bloc changes between consecutive elections</w:t>
      </w:r>
      <w:r w:rsidR="004E632A">
        <w:rPr>
          <w:lang w:val="en-US"/>
        </w:rPr>
        <w:t xml:space="preserve"> of the same type.</w:t>
      </w:r>
    </w:p>
    <w:p w14:paraId="4CC79B33" w14:textId="77777777" w:rsidR="00790C6C" w:rsidRPr="00C5639E" w:rsidRDefault="00000000" w:rsidP="00031E5E">
      <w:pPr>
        <w:pStyle w:val="Ttulo2"/>
        <w:spacing w:before="200" w:after="80" w:line="276" w:lineRule="auto"/>
        <w:rPr>
          <w:lang w:val="en-US"/>
        </w:rPr>
      </w:pPr>
      <w:r w:rsidRPr="00C5639E">
        <w:rPr>
          <w:b/>
          <w:bCs/>
          <w:color w:val="2E75B6"/>
          <w:lang w:val="en-US"/>
        </w:rPr>
        <w:t>3.2 Migration outcomes (individual x LAPOP round)</w:t>
      </w:r>
    </w:p>
    <w:p w14:paraId="2099CFC4" w14:textId="01E68FE7" w:rsidR="00790C6C" w:rsidRPr="00C5639E" w:rsidRDefault="00000000" w:rsidP="00031E5E">
      <w:pPr>
        <w:spacing w:before="60" w:after="60" w:line="276" w:lineRule="auto"/>
        <w:jc w:val="both"/>
        <w:rPr>
          <w:lang w:val="en-US"/>
        </w:rPr>
      </w:pPr>
      <w:r w:rsidRPr="00C5639E">
        <w:rPr>
          <w:b/>
          <w:bCs/>
          <w:lang w:val="en-US"/>
        </w:rPr>
        <w:t>Migration intention.</w:t>
      </w:r>
      <w:r w:rsidRPr="00C5639E">
        <w:rPr>
          <w:lang w:val="en-US"/>
        </w:rPr>
        <w:t xml:space="preserve"> LAPOP question </w:t>
      </w:r>
      <w:r w:rsidRPr="00C5639E">
        <w:rPr>
          <w:i/>
          <w:iCs/>
          <w:lang w:val="en-US"/>
        </w:rPr>
        <w:t>Q14</w:t>
      </w:r>
      <w:r w:rsidRPr="00C5639E">
        <w:rPr>
          <w:lang w:val="en-US"/>
        </w:rPr>
        <w:t>: "Do you have any intention of going to live or work in another country in the next three years?" Coded 1 = yes, 0 = no.</w:t>
      </w:r>
    </w:p>
    <w:p w14:paraId="0759D5F2" w14:textId="77777777" w:rsidR="00790C6C" w:rsidRPr="00C5639E" w:rsidRDefault="00000000" w:rsidP="00031E5E">
      <w:pPr>
        <w:pStyle w:val="Ttulo1"/>
        <w:spacing w:before="240" w:after="120" w:line="276" w:lineRule="auto"/>
        <w:rPr>
          <w:lang w:val="en-US"/>
        </w:rPr>
      </w:pPr>
      <w:r w:rsidRPr="00C5639E">
        <w:rPr>
          <w:b/>
          <w:bCs/>
          <w:color w:val="1F4E79"/>
          <w:lang w:val="en-US"/>
        </w:rPr>
        <w:t>4. Merging the Datasets</w:t>
      </w:r>
    </w:p>
    <w:p w14:paraId="1C7164AE" w14:textId="77777777" w:rsidR="00790C6C" w:rsidRPr="00C5639E" w:rsidRDefault="00000000" w:rsidP="00031E5E">
      <w:pPr>
        <w:pStyle w:val="Ttulo2"/>
        <w:spacing w:before="200" w:after="80" w:line="276" w:lineRule="auto"/>
        <w:rPr>
          <w:lang w:val="en-US"/>
        </w:rPr>
      </w:pPr>
      <w:r w:rsidRPr="00C5639E">
        <w:rPr>
          <w:b/>
          <w:bCs/>
          <w:color w:val="2E75B6"/>
          <w:lang w:val="en-US"/>
        </w:rPr>
        <w:t>4.1 Common municipal identifier</w:t>
      </w:r>
    </w:p>
    <w:p w14:paraId="75D4AA09" w14:textId="77777777" w:rsidR="002122AF" w:rsidRDefault="002122AF" w:rsidP="00031E5E">
      <w:pPr>
        <w:pStyle w:val="Ttulo2"/>
        <w:spacing w:before="200" w:after="80" w:line="276" w:lineRule="auto"/>
        <w:rPr>
          <w:color w:val="auto"/>
          <w:sz w:val="22"/>
          <w:szCs w:val="22"/>
          <w:lang w:val="en-US"/>
        </w:rPr>
      </w:pPr>
      <w:r w:rsidRPr="002122AF">
        <w:rPr>
          <w:color w:val="auto"/>
          <w:sz w:val="22"/>
          <w:szCs w:val="22"/>
          <w:lang w:val="en-US"/>
        </w:rPr>
        <w:t>All datasets are harmonized to a common municipality-level identifier based on the six-digit IPUMS code, in which the first three digits identify the province and the last three identify the municipality. The datasets are linked using the procedures described below, and the resulting database identifies municipalities using this harmonized IPUMS-based code.</w:t>
      </w:r>
    </w:p>
    <w:p w14:paraId="5C28ED23" w14:textId="2E3D1E2D" w:rsidR="00031E5E" w:rsidRDefault="00031E5E" w:rsidP="00031E5E">
      <w:pPr>
        <w:pStyle w:val="Ttulo2"/>
        <w:spacing w:before="200" w:after="80" w:line="276" w:lineRule="auto"/>
        <w:rPr>
          <w:color w:val="auto"/>
          <w:sz w:val="22"/>
          <w:szCs w:val="22"/>
          <w:lang w:val="en-US"/>
        </w:rPr>
      </w:pPr>
      <w:r w:rsidRPr="00031E5E">
        <w:rPr>
          <w:color w:val="auto"/>
          <w:sz w:val="22"/>
          <w:szCs w:val="22"/>
          <w:lang w:val="en-US"/>
        </w:rPr>
        <w:t>Because IPUMS provides a harmonized municipality code across census years, the 1970, 1980, and 2010 censuses can be linked directly using this identifier.</w:t>
      </w:r>
    </w:p>
    <w:p w14:paraId="64CC9D75" w14:textId="52432AFA" w:rsidR="00790C6C" w:rsidRPr="00C5639E" w:rsidRDefault="00000000" w:rsidP="00031E5E">
      <w:pPr>
        <w:pStyle w:val="Ttulo2"/>
        <w:spacing w:before="200" w:after="80" w:line="276" w:lineRule="auto"/>
        <w:rPr>
          <w:lang w:val="en-US"/>
        </w:rPr>
      </w:pPr>
      <w:r w:rsidRPr="00C5639E">
        <w:rPr>
          <w:b/>
          <w:bCs/>
          <w:color w:val="2E75B6"/>
          <w:lang w:val="en-US"/>
        </w:rPr>
        <w:t>4.2 Census to Electoral data — via municipal polygons</w:t>
      </w:r>
    </w:p>
    <w:p w14:paraId="18C176CF" w14:textId="77777777" w:rsidR="00790C6C" w:rsidRPr="00C5639E" w:rsidRDefault="00000000" w:rsidP="00031E5E">
      <w:pPr>
        <w:spacing w:before="60" w:after="60" w:line="276" w:lineRule="auto"/>
        <w:jc w:val="both"/>
        <w:rPr>
          <w:lang w:val="en-US"/>
        </w:rPr>
      </w:pPr>
      <w:r w:rsidRPr="00C5639E">
        <w:rPr>
          <w:lang w:val="en-US"/>
        </w:rPr>
        <w:t>Argentine electoral sections do not always match census municipalities one-to-one. We link the two using the harmonized 1970-2010 shapefile (</w:t>
      </w:r>
      <w:r w:rsidRPr="00C5639E">
        <w:rPr>
          <w:i/>
          <w:iCs/>
          <w:lang w:val="en-US"/>
        </w:rPr>
        <w:t>Data Raw/geo2_ar1970_2010/geo2_ar1970_2010.shp</w:t>
      </w:r>
      <w:r w:rsidRPr="00C5639E">
        <w:rPr>
          <w:lang w:val="en-US"/>
        </w:rPr>
        <w:t xml:space="preserve">). </w:t>
      </w:r>
      <w:commentRangeStart w:id="0"/>
      <w:r w:rsidRPr="00C5639E">
        <w:rPr>
          <w:lang w:val="en-US"/>
        </w:rPr>
        <w:t xml:space="preserve">Each electoral section polygon is spatially matched to the census municipality polygon that shares its </w:t>
      </w:r>
      <w:r w:rsidRPr="00C5639E">
        <w:rPr>
          <w:i/>
          <w:iCs/>
          <w:lang w:val="en-US"/>
        </w:rPr>
        <w:t>mun_code</w:t>
      </w:r>
      <w:r w:rsidRPr="00C5639E">
        <w:rPr>
          <w:lang w:val="en-US"/>
        </w:rPr>
        <w:t xml:space="preserve">. Sections corresponding to the Falkland/South Georgia islands and to the Entre Rios unknown district are dropped. The province-and-section identifiers in the electoral data are then aligned to the harmonized </w:t>
      </w:r>
      <w:r w:rsidRPr="00C5639E">
        <w:rPr>
          <w:i/>
          <w:iCs/>
          <w:lang w:val="en-US"/>
        </w:rPr>
        <w:t>mun_code</w:t>
      </w:r>
      <w:r w:rsidRPr="00C5639E">
        <w:rPr>
          <w:lang w:val="en-US"/>
        </w:rPr>
        <w:t>.</w:t>
      </w:r>
      <w:commentRangeEnd w:id="0"/>
      <w:r w:rsidR="00D171F7" w:rsidRPr="00C5639E">
        <w:rPr>
          <w:rStyle w:val="Refdecomentario"/>
          <w:sz w:val="22"/>
          <w:szCs w:val="22"/>
          <w:lang w:val="en-US"/>
        </w:rPr>
        <w:commentReference w:id="0"/>
      </w:r>
    </w:p>
    <w:p w14:paraId="50F7ACDA" w14:textId="77777777" w:rsidR="00790C6C" w:rsidRPr="00C5639E" w:rsidRDefault="00000000" w:rsidP="00031E5E">
      <w:pPr>
        <w:pStyle w:val="Ttulo2"/>
        <w:spacing w:before="200" w:after="80" w:line="276" w:lineRule="auto"/>
        <w:rPr>
          <w:lang w:val="en-US"/>
        </w:rPr>
      </w:pPr>
      <w:r w:rsidRPr="00C5639E">
        <w:rPr>
          <w:b/>
          <w:bCs/>
          <w:color w:val="2E75B6"/>
          <w:lang w:val="en-US"/>
        </w:rPr>
        <w:t>4.3 Census to LAPOP — name matching plus manual review</w:t>
      </w:r>
    </w:p>
    <w:p w14:paraId="48AF163D" w14:textId="77777777" w:rsidR="00790C6C" w:rsidRPr="00C5639E" w:rsidRDefault="00000000" w:rsidP="00031E5E">
      <w:pPr>
        <w:spacing w:before="60" w:after="60" w:line="276" w:lineRule="auto"/>
        <w:jc w:val="both"/>
        <w:rPr>
          <w:lang w:val="en-US"/>
        </w:rPr>
      </w:pPr>
      <w:r w:rsidRPr="00C5639E">
        <w:rPr>
          <w:lang w:val="en-US"/>
        </w:rPr>
        <w:t xml:space="preserve">LAPOP identifies respondents' location by province name and municipality name (text fields), not by a stable numeric code. In </w:t>
      </w:r>
      <w:r w:rsidRPr="00C5639E">
        <w:rPr>
          <w:i/>
          <w:iCs/>
          <w:lang w:val="en-US"/>
        </w:rPr>
        <w:t>06_Merge_LAPOP.R</w:t>
      </w:r>
      <w:r w:rsidRPr="00C5639E">
        <w:rPr>
          <w:lang w:val="en-US"/>
        </w:rPr>
        <w:t>:</w:t>
      </w:r>
    </w:p>
    <w:p w14:paraId="7FF50357" w14:textId="77777777" w:rsidR="00790C6C" w:rsidRPr="00C5639E" w:rsidRDefault="00000000" w:rsidP="00031E5E">
      <w:pPr>
        <w:spacing w:before="60" w:after="60" w:line="276" w:lineRule="auto"/>
        <w:jc w:val="both"/>
        <w:rPr>
          <w:lang w:val="en-US"/>
        </w:rPr>
      </w:pPr>
      <w:r w:rsidRPr="00C5639E">
        <w:rPr>
          <w:b/>
          <w:bCs/>
          <w:lang w:val="en-US"/>
        </w:rPr>
        <w:t>1. Normalize</w:t>
      </w:r>
      <w:r w:rsidRPr="00C5639E">
        <w:rPr>
          <w:lang w:val="en-US"/>
        </w:rPr>
        <w:t xml:space="preserve"> the LAPOP province and municipality strings (unaccent, uppercase, trim whitespace) and correct the handling of CABA / AMBA / Buenos Aires, so that CABA and its comunas are recoded to "CITY OF BUENOS AIRES", and AMBA is recoded to "BUENOS AIRES".</w:t>
      </w:r>
    </w:p>
    <w:p w14:paraId="758E10FF" w14:textId="77777777" w:rsidR="00790C6C" w:rsidRPr="00C5639E" w:rsidRDefault="00000000" w:rsidP="00031E5E">
      <w:pPr>
        <w:spacing w:before="60" w:after="60" w:line="276" w:lineRule="auto"/>
        <w:jc w:val="both"/>
        <w:rPr>
          <w:lang w:val="en-US"/>
        </w:rPr>
      </w:pPr>
      <w:r w:rsidRPr="00C5639E">
        <w:rPr>
          <w:b/>
          <w:bCs/>
          <w:lang w:val="en-US"/>
        </w:rPr>
        <w:t>2. Build a crosswalk</w:t>
      </w:r>
      <w:r w:rsidRPr="00C5639E">
        <w:rPr>
          <w:lang w:val="en-US"/>
        </w:rPr>
        <w:t xml:space="preserve"> of all (province, municipality) pairs in LAPOP and the harmonized census, matching by exact string equality on the cleaned names.</w:t>
      </w:r>
    </w:p>
    <w:p w14:paraId="662EF228" w14:textId="77777777" w:rsidR="00790C6C" w:rsidRPr="000C3954" w:rsidRDefault="00000000" w:rsidP="00031E5E">
      <w:pPr>
        <w:spacing w:before="60" w:after="60" w:line="276" w:lineRule="auto"/>
        <w:jc w:val="both"/>
      </w:pPr>
      <w:r w:rsidRPr="00C5639E">
        <w:rPr>
          <w:b/>
          <w:bCs/>
          <w:lang w:val="en-US"/>
        </w:rPr>
        <w:t>3. Manually resolve the unmatched pairs.</w:t>
      </w:r>
      <w:r w:rsidRPr="00C5639E">
        <w:rPr>
          <w:lang w:val="en-US"/>
        </w:rPr>
        <w:t xml:space="preserve"> Approximately 58 LAPOP localities do not match directly; they are typically localidades inside a larger partido or departamento. We identify the correct census municipality (partido, departamento, or CAPITAL) each locality belongs to, and record the correction in a hard-coded </w:t>
      </w:r>
      <w:r w:rsidRPr="00C5639E">
        <w:rPr>
          <w:i/>
          <w:iCs/>
          <w:lang w:val="en-US"/>
        </w:rPr>
        <w:t>case_when</w:t>
      </w:r>
      <w:r w:rsidRPr="00C5639E">
        <w:rPr>
          <w:lang w:val="en-US"/>
        </w:rPr>
        <w:t xml:space="preserve"> block. Most manual corrections map localities to their partido (Greater Buenos Aires), or recode provincial capitals as CAPITAL to match the census naming </w:t>
      </w:r>
      <w:r w:rsidRPr="00C5639E">
        <w:rPr>
          <w:lang w:val="en-US"/>
        </w:rPr>
        <w:lastRenderedPageBreak/>
        <w:t xml:space="preserve">convention. </w:t>
      </w:r>
      <w:r w:rsidRPr="000C3954">
        <w:t>Examples: SARANDI → AVELLANEDA (Buenos Aires); MAR DEL PLATA → GENERAL PUEYRREDON; SANTA ROSA → CAPITAL (La Pampa); VILLA CARLOS PAZ → PUNILLA (Cordoba).</w:t>
      </w:r>
    </w:p>
    <w:p w14:paraId="320CDB8C" w14:textId="77777777" w:rsidR="00790C6C" w:rsidRPr="00C5639E" w:rsidRDefault="00000000" w:rsidP="00031E5E">
      <w:pPr>
        <w:pStyle w:val="Ttulo2"/>
        <w:spacing w:before="200" w:after="80" w:line="276" w:lineRule="auto"/>
        <w:rPr>
          <w:lang w:val="en-US"/>
        </w:rPr>
      </w:pPr>
      <w:r w:rsidRPr="00C5639E">
        <w:rPr>
          <w:b/>
          <w:bCs/>
          <w:color w:val="2E75B6"/>
          <w:lang w:val="en-US"/>
        </w:rPr>
        <w:t>4.4 Final panel structure</w:t>
      </w:r>
    </w:p>
    <w:p w14:paraId="324F5CBB" w14:textId="77777777" w:rsidR="00790C6C" w:rsidRPr="00C5639E" w:rsidRDefault="00000000" w:rsidP="00031E5E">
      <w:pPr>
        <w:spacing w:before="60" w:after="60" w:line="276" w:lineRule="auto"/>
        <w:jc w:val="both"/>
        <w:rPr>
          <w:lang w:val="en-US"/>
        </w:rPr>
      </w:pPr>
      <w:r w:rsidRPr="00C5639E">
        <w:rPr>
          <w:b/>
          <w:bCs/>
          <w:lang w:val="en-US"/>
        </w:rPr>
        <w:t>Electoral analysis:</w:t>
      </w:r>
      <w:r w:rsidRPr="00C5639E">
        <w:rPr>
          <w:lang w:val="en-US"/>
        </w:rPr>
        <w:t xml:space="preserve"> municipality x election year x election type (General or PASO), covering the 2011-2025 window.</w:t>
      </w:r>
    </w:p>
    <w:p w14:paraId="29A547BA" w14:textId="77777777" w:rsidR="00790C6C" w:rsidRPr="00C5639E" w:rsidRDefault="00000000" w:rsidP="00031E5E">
      <w:pPr>
        <w:spacing w:before="60" w:after="60" w:line="276" w:lineRule="auto"/>
        <w:jc w:val="both"/>
        <w:rPr>
          <w:lang w:val="en-US"/>
        </w:rPr>
      </w:pPr>
      <w:r w:rsidRPr="00C5639E">
        <w:rPr>
          <w:b/>
          <w:bCs/>
          <w:lang w:val="en-US"/>
        </w:rPr>
        <w:t>Migration analysis:</w:t>
      </w:r>
      <w:r w:rsidRPr="00C5639E">
        <w:rPr>
          <w:lang w:val="en-US"/>
        </w:rPr>
        <w:t xml:space="preserve"> individual x LAPOP round (2012, 2014, 2017, 2019, 2023), with municipal-level Spanish exposure attached by </w:t>
      </w:r>
      <w:r w:rsidRPr="00C5639E">
        <w:rPr>
          <w:i/>
          <w:iCs/>
          <w:lang w:val="en-US"/>
        </w:rPr>
        <w:t>mun_code</w:t>
      </w:r>
      <w:r w:rsidRPr="00C5639E">
        <w:rPr>
          <w:lang w:val="en-US"/>
        </w:rPr>
        <w:t>.</w:t>
      </w:r>
    </w:p>
    <w:p w14:paraId="44BD8396" w14:textId="77777777" w:rsidR="00790C6C" w:rsidRPr="00C5639E" w:rsidRDefault="00000000" w:rsidP="00031E5E">
      <w:pPr>
        <w:spacing w:before="60" w:after="60" w:line="276" w:lineRule="auto"/>
        <w:jc w:val="both"/>
        <w:rPr>
          <w:lang w:val="en-US"/>
        </w:rPr>
      </w:pPr>
      <w:r w:rsidRPr="00C5639E">
        <w:rPr>
          <w:b/>
          <w:bCs/>
          <w:lang w:val="en-US"/>
        </w:rPr>
        <w:t>Post-reform indicator:</w:t>
      </w:r>
      <w:r w:rsidRPr="00C5639E">
        <w:rPr>
          <w:lang w:val="en-US"/>
        </w:rPr>
        <w:t xml:space="preserve"> set to 1 for elections and survey rounds after December 2022 (Ley de Nietos reform). Election-year cutoff defined by </w:t>
      </w:r>
      <w:r w:rsidRPr="00C5639E">
        <w:rPr>
          <w:i/>
          <w:iCs/>
          <w:lang w:val="en-US"/>
        </w:rPr>
        <w:t>post_cutoff = 2022</w:t>
      </w:r>
      <w:r w:rsidRPr="00C5639E">
        <w:rPr>
          <w:lang w:val="en-US"/>
        </w:rPr>
        <w:t xml:space="preserve"> in the estimation scripts (adjustable to 2023 if a stricter definition is preferred).</w:t>
      </w:r>
    </w:p>
    <w:p w14:paraId="4E6896D3" w14:textId="77777777" w:rsidR="0011195D" w:rsidRPr="00C5639E" w:rsidRDefault="0011195D" w:rsidP="00031E5E">
      <w:pPr>
        <w:pStyle w:val="Ttulo2"/>
        <w:spacing w:before="200" w:after="80" w:line="276" w:lineRule="auto"/>
        <w:rPr>
          <w:lang w:val="en-US"/>
        </w:rPr>
      </w:pPr>
      <w:r w:rsidRPr="00C5639E">
        <w:rPr>
          <w:b/>
          <w:bCs/>
          <w:color w:val="2E75B6"/>
          <w:lang w:val="en-US"/>
        </w:rPr>
        <w:t>2.4 Exclusions</w:t>
      </w:r>
    </w:p>
    <w:p w14:paraId="1D6EEAA8" w14:textId="77777777" w:rsidR="0011195D" w:rsidRPr="00C5639E" w:rsidRDefault="0011195D" w:rsidP="00031E5E">
      <w:pPr>
        <w:spacing w:before="60" w:after="60" w:line="276" w:lineRule="auto"/>
        <w:jc w:val="both"/>
        <w:rPr>
          <w:lang w:val="en-US"/>
        </w:rPr>
      </w:pPr>
      <w:commentRangeStart w:id="1"/>
      <w:r w:rsidRPr="00C5639E">
        <w:rPr>
          <w:lang w:val="en-US"/>
        </w:rPr>
        <w:t xml:space="preserve">We drop </w:t>
      </w:r>
      <w:r w:rsidRPr="00C5639E">
        <w:rPr>
          <w:i/>
          <w:iCs/>
          <w:lang w:val="en-US"/>
        </w:rPr>
        <w:t>mun_code</w:t>
      </w:r>
      <w:r w:rsidRPr="00C5639E">
        <w:rPr>
          <w:lang w:val="en-US"/>
        </w:rPr>
        <w:t xml:space="preserve"> 094003 (South Georgia and South Sandwich Islands), 094004 (Falkland Islands) and 030000 (Entre Rios district unknown). Observations with </w:t>
      </w:r>
      <w:r w:rsidRPr="00C5639E">
        <w:rPr>
          <w:i/>
          <w:iCs/>
          <w:lang w:val="en-US"/>
        </w:rPr>
        <w:t>yrimm</w:t>
      </w:r>
      <w:r w:rsidRPr="00C5639E">
        <w:rPr>
          <w:lang w:val="en-US"/>
        </w:rPr>
        <w:t xml:space="preserve"> coded 0 (not in universe), 9998 (in transit) or 9999 (unknown) are also excluded.</w:t>
      </w:r>
      <w:commentRangeEnd w:id="1"/>
      <w:r w:rsidRPr="00C5639E">
        <w:rPr>
          <w:rStyle w:val="Refdecomentario"/>
          <w:sz w:val="22"/>
          <w:szCs w:val="22"/>
          <w:lang w:val="en-US"/>
        </w:rPr>
        <w:commentReference w:id="1"/>
      </w:r>
    </w:p>
    <w:p w14:paraId="356DE33D" w14:textId="77777777" w:rsidR="00790C6C" w:rsidRPr="00C5639E" w:rsidRDefault="00790C6C" w:rsidP="00031E5E">
      <w:pPr>
        <w:spacing w:line="276" w:lineRule="auto"/>
        <w:rPr>
          <w:lang w:val="en-US"/>
        </w:rPr>
      </w:pPr>
    </w:p>
    <w:p w14:paraId="53B37B84" w14:textId="77777777" w:rsidR="00790C6C" w:rsidRPr="00C5639E" w:rsidRDefault="00000000" w:rsidP="00031E5E">
      <w:pPr>
        <w:spacing w:before="60" w:after="60" w:line="276" w:lineRule="auto"/>
        <w:jc w:val="both"/>
        <w:rPr>
          <w:lang w:val="en-US"/>
        </w:rPr>
      </w:pPr>
      <w:r w:rsidRPr="00C5639E">
        <w:rPr>
          <w:b/>
          <w:bCs/>
          <w:lang w:val="en-US"/>
        </w:rPr>
        <w:t>Note.</w:t>
      </w:r>
      <w:r w:rsidRPr="00C5639E">
        <w:rPr>
          <w:lang w:val="en-US"/>
        </w:rPr>
        <w:t xml:space="preserve"> Any change in the underlying data sources or in the tercile-splitting variables should be reflected consistently in </w:t>
      </w:r>
      <w:r w:rsidRPr="00C5639E">
        <w:rPr>
          <w:i/>
          <w:iCs/>
          <w:lang w:val="en-US"/>
        </w:rPr>
        <w:t>01_Data_Arg.R</w:t>
      </w:r>
      <w:r w:rsidRPr="00C5639E">
        <w:rPr>
          <w:lang w:val="en-US"/>
        </w:rPr>
        <w:t xml:space="preserve">, </w:t>
      </w:r>
      <w:r w:rsidRPr="00C5639E">
        <w:rPr>
          <w:i/>
          <w:iCs/>
          <w:lang w:val="en-US"/>
        </w:rPr>
        <w:t>02_Data_API_Arg.R</w:t>
      </w:r>
      <w:r w:rsidRPr="00C5639E">
        <w:rPr>
          <w:lang w:val="en-US"/>
        </w:rPr>
        <w:t xml:space="preserve">, </w:t>
      </w:r>
      <w:r w:rsidRPr="00C5639E">
        <w:rPr>
          <w:i/>
          <w:iCs/>
          <w:lang w:val="en-US"/>
        </w:rPr>
        <w:t>06_Data_LAPOP.do</w:t>
      </w:r>
      <w:r w:rsidRPr="00C5639E">
        <w:rPr>
          <w:lang w:val="en-US"/>
        </w:rPr>
        <w:t xml:space="preserve">, </w:t>
      </w:r>
      <w:r w:rsidRPr="00C5639E">
        <w:rPr>
          <w:i/>
          <w:iCs/>
          <w:lang w:val="en-US"/>
        </w:rPr>
        <w:t>06_Merge_LAPOP.R</w:t>
      </w:r>
      <w:r w:rsidRPr="00C5639E">
        <w:rPr>
          <w:lang w:val="en-US"/>
        </w:rPr>
        <w:t xml:space="preserve"> and </w:t>
      </w:r>
      <w:r w:rsidRPr="00C5639E">
        <w:rPr>
          <w:i/>
          <w:iCs/>
          <w:lang w:val="en-US"/>
        </w:rPr>
        <w:t>07_pre-processed_data.do</w:t>
      </w:r>
      <w:r w:rsidRPr="00C5639E">
        <w:rPr>
          <w:lang w:val="en-US"/>
        </w:rPr>
        <w:t>.</w:t>
      </w:r>
    </w:p>
    <w:sectPr w:rsidR="00790C6C" w:rsidRPr="00C5639E">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Florencia ruiz" w:date="2026-07-12T20:42:00Z" w:initials="Fr">
    <w:p w14:paraId="78289C85" w14:textId="77777777" w:rsidR="00D171F7" w:rsidRDefault="00D171F7" w:rsidP="00D171F7">
      <w:r>
        <w:rPr>
          <w:rStyle w:val="Refdecomentario"/>
        </w:rPr>
        <w:annotationRef/>
      </w:r>
      <w:r>
        <w:rPr>
          <w:sz w:val="20"/>
          <w:szCs w:val="20"/>
        </w:rPr>
        <w:t>mejorar</w:t>
      </w:r>
    </w:p>
  </w:comment>
  <w:comment w:id="1" w:author="Florencia ruiz" w:date="2026-07-12T20:34:00Z" w:initials="Fr">
    <w:p w14:paraId="432CE5E1" w14:textId="77777777" w:rsidR="0011195D" w:rsidRDefault="0011195D" w:rsidP="00C5639E">
      <w:r>
        <w:rPr>
          <w:rStyle w:val="Refdecomentario"/>
        </w:rPr>
        <w:annotationRef/>
      </w:r>
      <w:r>
        <w:rPr>
          <w:sz w:val="20"/>
          <w:szCs w:val="20"/>
        </w:rPr>
        <w:t>agregar que quedan 312 municipalidades despues de esto? pasar a la parte del merge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78289C85" w15:done="0"/>
  <w15:commentEx w15:paraId="432CE5E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4B9DF9A3" w16cex:dateUtc="2026-07-12T23:42:00Z"/>
  <w16cex:commentExtensible w16cex:durableId="4D49E3BE" w16cex:dateUtc="2026-07-12T23: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78289C85" w16cid:durableId="4B9DF9A3"/>
  <w16cid:commentId w16cid:paraId="432CE5E1" w16cid:durableId="4D49E3B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4C0A8A4" w14:textId="77777777" w:rsidR="00D24E56" w:rsidRDefault="00D24E56" w:rsidP="000C3954">
      <w:r>
        <w:separator/>
      </w:r>
    </w:p>
  </w:endnote>
  <w:endnote w:type="continuationSeparator" w:id="0">
    <w:p w14:paraId="5097B070" w14:textId="77777777" w:rsidR="00D24E56" w:rsidRDefault="00D24E56" w:rsidP="000C39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C6A13AC" w14:textId="77777777" w:rsidR="00D24E56" w:rsidRDefault="00D24E56" w:rsidP="000C3954">
      <w:r>
        <w:separator/>
      </w:r>
    </w:p>
  </w:footnote>
  <w:footnote w:type="continuationSeparator" w:id="0">
    <w:p w14:paraId="52537454" w14:textId="77777777" w:rsidR="00D24E56" w:rsidRDefault="00D24E56" w:rsidP="000C3954">
      <w:r>
        <w:continuationSeparator/>
      </w:r>
    </w:p>
  </w:footnote>
  <w:footnote w:id="1">
    <w:p w14:paraId="18AA58AE" w14:textId="7001F705" w:rsidR="000C3954" w:rsidRPr="000C3954" w:rsidRDefault="000C3954" w:rsidP="000C3954">
      <w:pPr>
        <w:pStyle w:val="Textonotapie"/>
        <w:jc w:val="both"/>
        <w:rPr>
          <w:lang w:val="en-US"/>
        </w:rPr>
      </w:pPr>
      <w:r w:rsidRPr="000C3954">
        <w:rPr>
          <w:rStyle w:val="Refdenotaalpie"/>
          <w:lang w:val="en-US"/>
        </w:rPr>
        <w:footnoteRef/>
      </w:r>
      <w:r w:rsidRPr="000C3954">
        <w:rPr>
          <w:lang w:val="en-US"/>
        </w:rPr>
        <w:t xml:space="preserve"> </w:t>
      </w:r>
      <w:r w:rsidRPr="000C3954">
        <w:rPr>
          <w:lang w:val="en-US"/>
        </w:rPr>
        <w:t>The survey also includes a 2021 round</w:t>
      </w:r>
      <w:r>
        <w:rPr>
          <w:lang w:val="en-US"/>
        </w:rPr>
        <w:t xml:space="preserve"> for Argentina</w:t>
      </w:r>
      <w:r w:rsidRPr="000C3954">
        <w:rPr>
          <w:lang w:val="en-US"/>
        </w:rPr>
        <w:t>, but this round does not contain the question on migration intentions.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4CD724E"/>
    <w:multiLevelType w:val="hybridMultilevel"/>
    <w:tmpl w:val="CFE669E6"/>
    <w:lvl w:ilvl="0" w:tplc="31F84C92">
      <w:start w:val="1"/>
      <w:numFmt w:val="bullet"/>
      <w:lvlText w:val="●"/>
      <w:lvlJc w:val="left"/>
      <w:pPr>
        <w:ind w:left="720" w:hanging="360"/>
      </w:pPr>
    </w:lvl>
    <w:lvl w:ilvl="1" w:tplc="F758A5E2">
      <w:start w:val="1"/>
      <w:numFmt w:val="bullet"/>
      <w:lvlText w:val="○"/>
      <w:lvlJc w:val="left"/>
      <w:pPr>
        <w:ind w:left="1440" w:hanging="360"/>
      </w:pPr>
    </w:lvl>
    <w:lvl w:ilvl="2" w:tplc="7CF41F60">
      <w:start w:val="1"/>
      <w:numFmt w:val="bullet"/>
      <w:lvlText w:val="■"/>
      <w:lvlJc w:val="left"/>
      <w:pPr>
        <w:ind w:left="2160" w:hanging="360"/>
      </w:pPr>
    </w:lvl>
    <w:lvl w:ilvl="3" w:tplc="F57EA8C4">
      <w:start w:val="1"/>
      <w:numFmt w:val="bullet"/>
      <w:lvlText w:val="●"/>
      <w:lvlJc w:val="left"/>
      <w:pPr>
        <w:ind w:left="2880" w:hanging="360"/>
      </w:pPr>
    </w:lvl>
    <w:lvl w:ilvl="4" w:tplc="1250E184">
      <w:start w:val="1"/>
      <w:numFmt w:val="bullet"/>
      <w:lvlText w:val="○"/>
      <w:lvlJc w:val="left"/>
      <w:pPr>
        <w:ind w:left="3600" w:hanging="360"/>
      </w:pPr>
    </w:lvl>
    <w:lvl w:ilvl="5" w:tplc="32FAFC0A">
      <w:start w:val="1"/>
      <w:numFmt w:val="bullet"/>
      <w:lvlText w:val="■"/>
      <w:lvlJc w:val="left"/>
      <w:pPr>
        <w:ind w:left="4320" w:hanging="360"/>
      </w:pPr>
    </w:lvl>
    <w:lvl w:ilvl="6" w:tplc="B4CECB0E">
      <w:start w:val="1"/>
      <w:numFmt w:val="bullet"/>
      <w:lvlText w:val="●"/>
      <w:lvlJc w:val="left"/>
      <w:pPr>
        <w:ind w:left="5040" w:hanging="360"/>
      </w:pPr>
    </w:lvl>
    <w:lvl w:ilvl="7" w:tplc="7DD856E2">
      <w:start w:val="1"/>
      <w:numFmt w:val="bullet"/>
      <w:lvlText w:val="●"/>
      <w:lvlJc w:val="left"/>
      <w:pPr>
        <w:ind w:left="5760" w:hanging="360"/>
      </w:pPr>
    </w:lvl>
    <w:lvl w:ilvl="8" w:tplc="B63494BC">
      <w:start w:val="1"/>
      <w:numFmt w:val="bullet"/>
      <w:lvlText w:val="●"/>
      <w:lvlJc w:val="left"/>
      <w:pPr>
        <w:ind w:left="6480" w:hanging="360"/>
      </w:pPr>
    </w:lvl>
  </w:abstractNum>
  <w:num w:numId="1" w16cid:durableId="389884944">
    <w:abstractNumId w:val="0"/>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Florencia ruiz">
    <w15:presenceInfo w15:providerId="Windows Live" w15:userId="7b066f386e5ac473"/>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0C6C"/>
    <w:rsid w:val="00031E5E"/>
    <w:rsid w:val="000C3954"/>
    <w:rsid w:val="0011195D"/>
    <w:rsid w:val="00156C79"/>
    <w:rsid w:val="002122AF"/>
    <w:rsid w:val="0034283A"/>
    <w:rsid w:val="004E632A"/>
    <w:rsid w:val="00790C6C"/>
    <w:rsid w:val="00C5639E"/>
    <w:rsid w:val="00D171F7"/>
    <w:rsid w:val="00D24E5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4:docId w14:val="0A9304CE"/>
  <w15:docId w15:val="{B5E4E1E9-640D-424C-B915-CF1809A42E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mbria" w:eastAsia="Cambria" w:hAnsi="Cambria" w:cs="Cambria"/>
        <w:sz w:val="22"/>
        <w:szCs w:val="22"/>
        <w:lang w:val="es-AR" w:eastAsia="es-ES_trad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Refdecomentario">
    <w:name w:val="annotation reference"/>
    <w:basedOn w:val="Fuentedeprrafopredeter"/>
    <w:uiPriority w:val="99"/>
    <w:semiHidden/>
    <w:unhideWhenUsed/>
    <w:rsid w:val="00C5639E"/>
    <w:rPr>
      <w:sz w:val="16"/>
      <w:szCs w:val="16"/>
    </w:rPr>
  </w:style>
  <w:style w:type="paragraph" w:styleId="Textocomentario">
    <w:name w:val="annotation text"/>
    <w:basedOn w:val="Normal"/>
    <w:link w:val="TextocomentarioCar"/>
    <w:uiPriority w:val="99"/>
    <w:semiHidden/>
    <w:unhideWhenUsed/>
    <w:rsid w:val="00C5639E"/>
    <w:rPr>
      <w:sz w:val="20"/>
      <w:szCs w:val="20"/>
    </w:rPr>
  </w:style>
  <w:style w:type="character" w:customStyle="1" w:styleId="TextocomentarioCar">
    <w:name w:val="Texto comentario Car"/>
    <w:basedOn w:val="Fuentedeprrafopredeter"/>
    <w:link w:val="Textocomentario"/>
    <w:uiPriority w:val="99"/>
    <w:semiHidden/>
    <w:rsid w:val="00C5639E"/>
    <w:rPr>
      <w:sz w:val="20"/>
      <w:szCs w:val="20"/>
    </w:rPr>
  </w:style>
  <w:style w:type="paragraph" w:styleId="Asuntodelcomentario">
    <w:name w:val="annotation subject"/>
    <w:basedOn w:val="Textocomentario"/>
    <w:next w:val="Textocomentario"/>
    <w:link w:val="AsuntodelcomentarioCar"/>
    <w:uiPriority w:val="99"/>
    <w:semiHidden/>
    <w:unhideWhenUsed/>
    <w:rsid w:val="00C5639E"/>
    <w:rPr>
      <w:b/>
      <w:bCs/>
    </w:rPr>
  </w:style>
  <w:style w:type="character" w:customStyle="1" w:styleId="AsuntodelcomentarioCar">
    <w:name w:val="Asunto del comentario Car"/>
    <w:basedOn w:val="TextocomentarioCar"/>
    <w:link w:val="Asuntodelcomentario"/>
    <w:uiPriority w:val="99"/>
    <w:semiHidden/>
    <w:rsid w:val="00C5639E"/>
    <w:rPr>
      <w:b/>
      <w:bCs/>
      <w:sz w:val="20"/>
      <w:szCs w:val="20"/>
    </w:rPr>
  </w:style>
  <w:style w:type="character" w:styleId="Mencinsinresolver">
    <w:name w:val="Unresolved Mention"/>
    <w:basedOn w:val="Fuentedeprrafopredeter"/>
    <w:uiPriority w:val="99"/>
    <w:semiHidden/>
    <w:unhideWhenUsed/>
    <w:rsid w:val="000C39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datacp.ar/acerca-de" TargetMode="External"/><Relationship Id="rId13" Type="http://schemas.microsoft.com/office/2018/08/relationships/commentsExtensible" Target="commentsExtensible.xml"/><Relationship Id="rId3" Type="http://schemas.openxmlformats.org/officeDocument/2006/relationships/styles" Target="styles.xml"/><Relationship Id="rId7" Type="http://schemas.openxmlformats.org/officeDocument/2006/relationships/endnotes" Target="endnotes.xml"/><Relationship Id="rId12" Type="http://schemas.microsoft.com/office/2016/09/relationships/commentsIds" Target="commentsIds.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5" Type="http://schemas.microsoft.com/office/2011/relationships/people" Target="people.xml"/><Relationship Id="rId10" Type="http://schemas.openxmlformats.org/officeDocument/2006/relationships/comments" Target="comments.xml"/><Relationship Id="rId4" Type="http://schemas.openxmlformats.org/officeDocument/2006/relationships/settings" Target="settings.xml"/><Relationship Id="rId9" Type="http://schemas.openxmlformats.org/officeDocument/2006/relationships/hyperlink" Target="https://argentinadatos.com/" TargetMode="Externa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F075D0-A7BF-1746-A681-A2C2AFAD9C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4</Pages>
  <Words>1352</Words>
  <Characters>7686</Characters>
  <Application>Microsoft Office Word</Application>
  <DocSecurity>0</DocSecurity>
  <Lines>156</Lines>
  <Paragraphs>127</Paragraphs>
  <ScaleCrop>false</ScaleCrop>
  <HeadingPairs>
    <vt:vector size="2" baseType="variant">
      <vt:variant>
        <vt:lpstr>Título</vt:lpstr>
      </vt:variant>
      <vt:variant>
        <vt:i4>1</vt:i4>
      </vt:variant>
    </vt:vector>
  </HeadingPairs>
  <TitlesOfParts>
    <vt:vector size="1" baseType="lpstr">
      <vt:lpstr>Data and Variable Construction</vt:lpstr>
    </vt:vector>
  </TitlesOfParts>
  <Company/>
  <LinksUpToDate>false</LinksUpToDate>
  <CharactersWithSpaces>8911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and Variable Construction</dc:title>
  <dc:creator>Paper nietos - data documentation</dc:creator>
  <cp:lastModifiedBy>Florencia ruiz</cp:lastModifiedBy>
  <cp:revision>4</cp:revision>
  <dcterms:created xsi:type="dcterms:W3CDTF">2026-07-12T13:12:00Z</dcterms:created>
  <dcterms:modified xsi:type="dcterms:W3CDTF">2026-07-13T15:37:00Z</dcterms:modified>
</cp:coreProperties>
</file>