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69AE" w14:textId="77777777" w:rsidR="000717CB" w:rsidRPr="00EB4A3D" w:rsidRDefault="00000000">
      <w:pPr>
        <w:pStyle w:val="Ttulo"/>
        <w:rPr>
          <w:color w:val="000000" w:themeColor="text1"/>
        </w:rPr>
      </w:pPr>
      <w:r w:rsidRPr="00EB4A3D">
        <w:rPr>
          <w:color w:val="000000" w:themeColor="text1"/>
        </w:rPr>
        <w:t>Detección funcional multivariante de anomalías en redes de distribución de agua</w:t>
      </w:r>
    </w:p>
    <w:p w14:paraId="1A4F27B5" w14:textId="77777777" w:rsidR="000717CB" w:rsidRPr="00EB4A3D" w:rsidRDefault="00000000">
      <w:pPr>
        <w:pStyle w:val="Ttulo1"/>
        <w:rPr>
          <w:color w:val="000000" w:themeColor="text1"/>
        </w:rPr>
      </w:pPr>
      <w:r w:rsidRPr="00EB4A3D">
        <w:rPr>
          <w:color w:val="000000" w:themeColor="text1"/>
        </w:rPr>
        <w:t>1. Introducción</w:t>
      </w:r>
    </w:p>
    <w:p w14:paraId="69B30904" w14:textId="77777777" w:rsidR="000717CB" w:rsidRPr="00EB4A3D" w:rsidRDefault="00000000">
      <w:pPr>
        <w:pStyle w:val="FirstParagraph"/>
        <w:rPr>
          <w:color w:val="000000" w:themeColor="text1"/>
        </w:rPr>
      </w:pPr>
      <w:r>
        <w:t>Los sistemas de distribución de agua integran sensores, actuadores, controladores y sistemas SCADA que permiten conocer su operación en tiempo casi real. Esta integración amplía las posibilidades de control, pero también la exposición a fallos y ataques ciberfísicos. Detectar desviaciones respecto al funcionamiento de referencia es, por tanto, relevante para la seguridad y continuidad del abastecimiento.</w:t>
      </w:r>
    </w:p>
    <w:p w14:paraId="146DDC7C" w14:textId="77777777" w:rsidR="000717CB" w:rsidRPr="00EB4A3D" w:rsidRDefault="00000000">
      <w:pPr>
        <w:pStyle w:val="Textoindependiente"/>
        <w:rPr>
          <w:color w:val="000000" w:themeColor="text1"/>
        </w:rPr>
      </w:pPr>
      <w:r>
        <w:t xml:space="preserve">BATADAL proporciona un escenario reproducible de investigación sobre ataques a la red C-Town, con registros de operación y eventos documentados. En este banco de pruebas se han comparado algoritmos basados en datos, reglas y modelos físicos, considerando tanto la detección como su oportunidad temporal </w:t>
      </w:r>
      <w:sdt>
        <w:sdtPr>
          <w:id w:val="1800000014"/>
          <w:citation/>
        </w:sdtPr>
        <w:sdtContent>
          <w:r>
            <w:fldChar w:fldCharType="begin"/>
          </w:r>
          <w:r>
            <w:instrText xml:space="preserve"> CITATION Taormina2018 \l 2058 </w:instrText>
          </w:r>
          <w:r>
            <w:fldChar w:fldCharType="separate"/>
          </w:r>
          <w:r w:rsidR="004D0E2C" w:rsidRPr="004D0E2C">
            <w:rPr>
              <w:noProof/>
            </w:rPr>
            <w:t>(Taormina, et al., 2018)</w:t>
          </w:r>
          <w:r>
            <w:fldChar w:fldCharType="end"/>
          </w:r>
        </w:sdtContent>
      </w:sdt>
      <w:r>
        <w:t>.</w:t>
      </w:r>
    </w:p>
    <w:p w14:paraId="55B04874" w14:textId="77777777" w:rsidR="000717CB" w:rsidRPr="00EB4A3D" w:rsidRDefault="00000000">
      <w:pPr>
        <w:pStyle w:val="Textoindependiente"/>
        <w:rPr>
          <w:color w:val="000000" w:themeColor="text1"/>
        </w:rPr>
      </w:pPr>
      <w:r>
        <w:t xml:space="preserve">Entre los antecedentes específicos de agua, los modelos hidráulicos permiten contrastar mediciones con respuestas esperadas mediante residuos </w:t>
      </w:r>
      <w:sdt>
        <w:sdtPr>
          <w:id w:val="1800000013"/>
          <w:citation/>
        </w:sdtPr>
        <w:sdtContent>
          <w:r>
            <w:fldChar w:fldCharType="begin"/>
          </w:r>
          <w:r>
            <w:instrText xml:space="preserve"> CITATION Housh2018 \l 2058 </w:instrText>
          </w:r>
          <w:r>
            <w:fldChar w:fldCharType="separate"/>
          </w:r>
          <w:r w:rsidR="004D0E2C" w:rsidRPr="004D0E2C">
            <w:rPr>
              <w:noProof/>
            </w:rPr>
            <w:t>(Housh &amp; Ohar, 2018)</w:t>
          </w:r>
          <w:r>
            <w:fldChar w:fldCharType="end"/>
          </w:r>
        </w:sdtContent>
      </w:sdt>
      <w:r>
        <w:t xml:space="preserve">. Los métodos basados en datos han combinado análisis de componentes principales y redes neuronales </w:t>
      </w:r>
      <w:sdt>
        <w:sdtPr>
          <w:rPr>
            <w:color w:val="000000" w:themeColor="text1"/>
          </w:rPr>
          <w:id w:val="1405022315"/>
          <w:citation/>
        </w:sdtPr>
        <w:sdtContent>
          <w:r w:rsidR="000A3A7C" w:rsidRPr="00EB4A3D">
            <w:rPr>
              <w:color w:val="000000" w:themeColor="text1"/>
            </w:rPr>
            <w:fldChar w:fldCharType="begin"/>
          </w:r>
          <w:r w:rsidR="000A3A7C" w:rsidRPr="00EB4A3D">
            <w:rPr>
              <w:color w:val="000000" w:themeColor="text1"/>
            </w:rPr>
            <w:instrText xml:space="preserve"> CITATION Abokifa2019 \l 2058 </w:instrText>
          </w:r>
          <w:r w:rsidR="000A3A7C" w:rsidRPr="00EB4A3D">
            <w:rPr>
              <w:color w:val="000000" w:themeColor="text1"/>
            </w:rPr>
            <w:fldChar w:fldCharType="separate"/>
          </w:r>
          <w:r w:rsidR="004D0E2C" w:rsidRPr="004D0E2C">
            <w:rPr>
              <w:noProof/>
              <w:color w:val="000000" w:themeColor="text1"/>
            </w:rPr>
            <w:t>(Abokifa, Haddad, Lo, &amp; Biswas, 2019)</w:t>
          </w:r>
          <w:r w:rsidR="000A3A7C" w:rsidRPr="00EB4A3D">
            <w:rPr>
              <w:color w:val="000000" w:themeColor="text1"/>
            </w:rPr>
            <w:fldChar w:fldCharType="end"/>
          </w:r>
        </w:sdtContent>
      </w:sdt>
      <w:r>
        <w:t xml:space="preserve">, y también han evaluado estrategias de aprendizaje automático orientadas a controlar falsas alarmas </w:t>
      </w:r>
      <w:sdt>
        <w:sdtPr>
          <w:rPr>
            <w:color w:val="000000" w:themeColor="text1"/>
          </w:rPr>
          <w:id w:val="-580827213"/>
          <w:citation/>
        </w:sdtPr>
        <w:sdtContent>
          <w:r w:rsidR="000A3A7C" w:rsidRPr="00EB4A3D">
            <w:rPr>
              <w:color w:val="000000" w:themeColor="text1"/>
            </w:rPr>
            <w:fldChar w:fldCharType="begin"/>
          </w:r>
          <w:r w:rsidR="000A3A7C" w:rsidRPr="00EB4A3D">
            <w:rPr>
              <w:color w:val="000000" w:themeColor="text1"/>
            </w:rPr>
            <w:instrText xml:space="preserve"> CITATION Ramotsoela2019 \l 2058 </w:instrText>
          </w:r>
          <w:r w:rsidR="000A3A7C" w:rsidRPr="00EB4A3D">
            <w:rPr>
              <w:color w:val="000000" w:themeColor="text1"/>
            </w:rPr>
            <w:fldChar w:fldCharType="separate"/>
          </w:r>
          <w:r w:rsidR="004D0E2C" w:rsidRPr="004D0E2C">
            <w:rPr>
              <w:noProof/>
              <w:color w:val="000000" w:themeColor="text1"/>
            </w:rPr>
            <w:t>(Ramotsoela, Hancke, &amp; Abu-Mahfouz, 2019)</w:t>
          </w:r>
          <w:r w:rsidR="000A3A7C" w:rsidRPr="00EB4A3D">
            <w:rPr>
              <w:color w:val="000000" w:themeColor="text1"/>
            </w:rPr>
            <w:fldChar w:fldCharType="end"/>
          </w:r>
        </w:sdtContent>
      </w:sdt>
      <w:r>
        <w:t>. Estos trabajos sustentan la necesidad de caracterizar el comportamiento multivariante, pero no agotan las posibilidades de representar la forma diaria de las señales.</w:t>
      </w:r>
    </w:p>
    <w:p w14:paraId="66D867F3" w14:textId="77777777" w:rsidR="000717CB" w:rsidRPr="00EB4A3D" w:rsidRDefault="00000000">
      <w:pPr>
        <w:pStyle w:val="Textoindependiente"/>
        <w:rPr>
          <w:color w:val="000000" w:themeColor="text1"/>
        </w:rPr>
      </w:pPr>
      <w:r>
        <w:t xml:space="preserve">Cada variable de BATADAL presenta una trayectoria de 24 observaciones por día. El Análisis Funcional de Datos (AFD) permite tratar esa trayectoria como una unidad estadística, conservando su forma temporal en lugar de considerar cada hora como una observación aislada </w:t>
      </w:r>
      <w:sdt>
        <w:sdtPr>
          <w:rPr>
            <w:color w:val="000000" w:themeColor="text1"/>
          </w:rPr>
          <w:id w:val="112636981"/>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r>
        <w:t>.</w:t>
      </w:r>
    </w:p>
    <w:p w14:paraId="1718BF01" w14:textId="77777777" w:rsidR="000717CB" w:rsidRPr="00EB4A3D" w:rsidRDefault="00000000">
      <w:pPr>
        <w:pStyle w:val="Textoindependiente"/>
        <w:rPr>
          <w:color w:val="000000" w:themeColor="text1"/>
        </w:rPr>
      </w:pPr>
      <w:r>
        <w:t>En este estudio, cada día constituirá un individuo y las 24 horas definirán el dominio de observación. En R se organizará una matriz de días por horas para cada señal y se convertirá a un objeto funcional. Las señales se integrarán posteriormente en una representación multivariante, respetando sus diferentes escalas y naturalezas.</w:t>
      </w:r>
    </w:p>
    <w:p w14:paraId="2B644828" w14:textId="77777777" w:rsidR="000717CB" w:rsidRPr="00EB4A3D" w:rsidRDefault="00000000">
      <w:pPr>
        <w:pStyle w:val="Textoindependiente"/>
        <w:rPr>
          <w:color w:val="000000" w:themeColor="text1"/>
        </w:rPr>
      </w:pPr>
      <w:r>
        <w:t xml:space="preserve">La elección de la representación dependerá de cada variable: B-splines para trayectorias suaves no periódicas, Fourier cuando exista evidencia de periodicidad compatible con los límites diarios, wavelets para cambios localizados, funciones escalonadas para estados binarios y una base constante para señales sentinela </w:t>
      </w:r>
      <w:sdt>
        <w:sdtPr>
          <w:rPr>
            <w:color w:val="000000" w:themeColor="text1"/>
          </w:rPr>
          <w:id w:val="624426480"/>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r>
        <w:t>.</w:t>
      </w:r>
    </w:p>
    <w:p w14:paraId="4130E240" w14:textId="77777777" w:rsidR="000717CB" w:rsidRPr="00EB4A3D" w:rsidRDefault="00000000">
      <w:pPr>
        <w:pStyle w:val="Textoindependiente"/>
        <w:rPr>
          <w:color w:val="000000" w:themeColor="text1"/>
        </w:rPr>
      </w:pPr>
      <w:r>
        <w:t xml:space="preserve">La reducción conjunta se realizará mediante Análisis de Componentes Principales Funcionales Multivariantes (MFPCA), capaz de combinar señales representadas en </w:t>
      </w:r>
      <w:r>
        <w:lastRenderedPageBreak/>
        <w:t xml:space="preserve">bases distintas y sintetizar sus principales patrones de variación. La ponderación será esencial para evitar que las magnitudes físicas dominantes condicionen indebidamente la solución </w:t>
      </w:r>
      <w:sdt>
        <w:sdtPr>
          <w:rPr>
            <w:color w:val="000000" w:themeColor="text1"/>
          </w:rPr>
          <w:id w:val="-2117209961"/>
          <w:citation/>
        </w:sdtPr>
        <w:sdtContent>
          <w:r>
            <w:rPr>
              <w:color w:val="000000" w:themeColor="text1"/>
            </w:rPr>
            <w:fldChar w:fldCharType="begin"/>
          </w:r>
          <w:r>
            <w:rPr>
              <w:color w:val="000000" w:themeColor="text1"/>
              <w:lang w:val="es-MX"/>
            </w:rPr>
            <w:instrText xml:space="preserve"> CITATION HappGreven2018 \l 2058 </w:instrText>
          </w:r>
          <w:r>
            <w:rPr>
              <w:color w:val="000000" w:themeColor="text1"/>
            </w:rPr>
            <w:fldChar w:fldCharType="separate"/>
          </w:r>
          <w:r w:rsidR="004D0E2C" w:rsidRPr="004D0E2C">
            <w:rPr>
              <w:noProof/>
              <w:color w:val="000000" w:themeColor="text1"/>
              <w:lang w:val="es-MX"/>
            </w:rPr>
            <w:t>(Happ &amp; Greven, 2018)</w:t>
          </w:r>
          <w:r>
            <w:rPr>
              <w:color w:val="000000" w:themeColor="text1"/>
            </w:rPr>
            <w:fldChar w:fldCharType="end"/>
          </w:r>
        </w:sdtContent>
      </w:sdt>
      <w:r>
        <w:t>.</w:t>
      </w:r>
    </w:p>
    <w:p w14:paraId="0B64822D" w14:textId="77777777" w:rsidR="000717CB" w:rsidRPr="00EB4A3D" w:rsidRDefault="00000000">
      <w:pPr>
        <w:pStyle w:val="Textoindependiente"/>
        <w:rPr>
          <w:color w:val="000000" w:themeColor="text1"/>
        </w:rPr>
      </w:pPr>
      <w:r>
        <w:t xml:space="preserve">La MFPCA no asignará por sí sola la etiqueta de anomalía: servirá para construir estadísticas interpretables. En particular, T² de Hotelling evalúa la distancia dentro del espacio principal y SPE la desviación residual, siguiendo antecedentes del control estadístico de procesos </w:t>
      </w:r>
      <w:sdt>
        <w:sdtPr>
          <w:id w:val="1800000009"/>
          <w:citation/>
        </w:sdtPr>
        <w:sdtContent>
          <w:r>
            <w:fldChar w:fldCharType="begin"/>
          </w:r>
          <w:r>
            <w:instrText xml:space="preserve"> CITATION Qin2003 \l 2058 </w:instrText>
          </w:r>
          <w:r>
            <w:fldChar w:fldCharType="separate"/>
          </w:r>
          <w:r w:rsidR="004D0E2C" w:rsidRPr="004D0E2C">
            <w:rPr>
              <w:noProof/>
            </w:rPr>
            <w:t>(Qin, 2003)</w:t>
          </w:r>
          <w:r>
            <w:fldChar w:fldCharType="end"/>
          </w:r>
        </w:sdtContent>
      </w:sdt>
      <w:r>
        <w:t xml:space="preserve">. Como enfoque complementario, la profundidad funcional evalúa cuán central es una curva frente a una población de referencia </w:t>
      </w:r>
      <w:sdt>
        <w:sdtPr>
          <w:id w:val="1800000010"/>
          <w:citation/>
        </w:sdtPr>
        <w:sdtContent>
          <w:r>
            <w:fldChar w:fldCharType="begin"/>
          </w:r>
          <w:r>
            <w:instrText xml:space="preserve"> CITATION FraimanMuniz2001 \l 2058 </w:instrText>
          </w:r>
          <w:r>
            <w:fldChar w:fldCharType="separate"/>
          </w:r>
          <w:r w:rsidR="004D0E2C" w:rsidRPr="004D0E2C">
            <w:rPr>
              <w:noProof/>
            </w:rPr>
            <w:t>(Fraiman &amp; Muniz, 2001)</w:t>
          </w:r>
          <w:r>
            <w:fldChar w:fldCharType="end"/>
          </w:r>
        </w:sdtContent>
      </w:sdt>
      <w:r>
        <w:t>.</w:t>
      </w:r>
    </w:p>
    <w:p w14:paraId="29E2B26B" w14:textId="77777777" w:rsidR="00861F5E" w:rsidRDefault="00000000">
      <w:pPr>
        <w:pStyle w:val="Textoindependiente"/>
      </w:pPr>
      <w:r>
        <w:t xml:space="preserve">La pertinencia de estos enfoques trasciende las redes de agua. En eficiencia energética de edificios, se han construido gráficos de control mediante profundidad funcional y remuestreo para detectar trayectorias anómalas de consumo </w:t>
      </w:r>
      <w:sdt>
        <w:sdtPr>
          <w:id w:val="1800000012"/>
          <w:citation/>
        </w:sdtPr>
        <w:sdtContent>
          <w:r>
            <w:fldChar w:fldCharType="begin"/>
          </w:r>
          <w:r>
            <w:instrText xml:space="preserve"> CITATION Flores2020 \l 2058 </w:instrText>
          </w:r>
          <w:r>
            <w:fldChar w:fldCharType="separate"/>
          </w:r>
          <w:r w:rsidR="004D0E2C" w:rsidRPr="004D0E2C">
            <w:rPr>
              <w:noProof/>
            </w:rPr>
            <w:t>(Flores, et al., 2020)</w:t>
          </w:r>
          <w:r>
            <w:fldChar w:fldCharType="end"/>
          </w:r>
        </w:sdtContent>
      </w:sdt>
      <w:r>
        <w:t xml:space="preserve">. En estudios interlaboratorio con curvas termogravimétricas, se han extendido los estadísticos h y k de Mandel al dominio funcional y calibrado límites críticos mediante bootstrap </w:t>
      </w:r>
      <w:sdt>
        <w:sdtPr>
          <w:id w:val="213314411"/>
          <w:citation/>
        </w:sdtPr>
        <w:sdtContent>
          <w:r>
            <w:fldChar w:fldCharType="begin"/>
          </w:r>
          <w:r>
            <w:instrText xml:space="preserve"> CITATION Flores2018 \l 2058 </w:instrText>
          </w:r>
          <w:r>
            <w:fldChar w:fldCharType="separate"/>
          </w:r>
          <w:r w:rsidR="004D0E2C" w:rsidRPr="004D0E2C">
            <w:rPr>
              <w:noProof/>
            </w:rPr>
            <w:t>(Flores, Tarrío-Saavedra, Fernández-Casal, &amp; Naya, 2018)</w:t>
          </w:r>
          <w:r>
            <w:fldChar w:fldCharType="end"/>
          </w:r>
        </w:sdtContent>
      </w:sdt>
      <w:r>
        <w:t xml:space="preserve">. Asimismo, el paquete qcr reúne en R gráficos T², herramientas no paramétricas basadas en profundidad y gráficos funcionales de las fases I y II del control estadístico </w:t>
      </w:r>
      <w:sdt>
        <w:sdtPr>
          <w:id w:val="-512380373"/>
          <w:citation/>
        </w:sdtPr>
        <w:sdtContent>
          <w:r>
            <w:fldChar w:fldCharType="begin"/>
          </w:r>
          <w:r>
            <w:instrText xml:space="preserve"> CITATION Flores2021 \l 2058 </w:instrText>
          </w:r>
          <w:r>
            <w:fldChar w:fldCharType="separate"/>
          </w:r>
          <w:r w:rsidR="004D0E2C" w:rsidRPr="004D0E2C">
            <w:rPr>
              <w:noProof/>
            </w:rPr>
            <w:t>(Flores, Fernández-Casal, Naya, &amp; Tarrío-Saavedra, 2021)</w:t>
          </w:r>
          <w:r>
            <w:fldChar w:fldCharType="end"/>
          </w:r>
        </w:sdtContent>
      </w:sdt>
      <w:r>
        <w:t>. Estos antecedentes justifican estudiar estadísticas de desviación y límites de control en BATADAL, sin asumir que sus resultados se transfieren automáticamente a una red hidráulica.</w:t>
      </w:r>
    </w:p>
    <w:p w14:paraId="78E383F1" w14:textId="77777777" w:rsidR="00861F5E" w:rsidRDefault="00000000">
      <w:pPr>
        <w:pStyle w:val="Textoindependiente"/>
      </w:pPr>
      <w:r>
        <w:t>Además de la detección global de días anómalos, se buscará atribuir las desviaciones observadas a componentes y zonas instrumentadas mediante un diccionario físico de señales. Los resultados locales permitirán elaborar un mapa descriptivo de recurrencia de anomalías; no se interpretará como demostración de la causa del ataque ni como vulnerabilidad de nodos sin mediciones. El protocolo se contrastará asimismo en otra base compatible para estudiar su transportabilidad.</w:t>
      </w:r>
    </w:p>
    <w:p w14:paraId="4B49A2EB" w14:textId="77777777" w:rsidR="000717CB" w:rsidRPr="00EB4A3D" w:rsidRDefault="00000000">
      <w:pPr>
        <w:rPr>
          <w:color w:val="000000" w:themeColor="text1"/>
        </w:rPr>
      </w:pPr>
      <w:r>
        <w:t>El objetivo de este estudio es desarrollar y evaluar un procedimiento de análisis funcional multivariante para detectar anomalías diarias y describir su manifestación en componentes instrumentados de redes de distribución de agua. Se emplearán representaciones de curvas, MFPCA y estadísticas de desviación fundamentadas en la literatura; se evaluarán la detección, la evidencia espacial y la transportabilidad del procedimiento a otra base independiente.</w:t>
      </w:r>
    </w:p>
    <w:p w14:paraId="62FC00A3" w14:textId="77777777" w:rsidR="000717CB" w:rsidRPr="00EB4A3D" w:rsidRDefault="00000000">
      <w:pPr>
        <w:rPr>
          <w:color w:val="000000" w:themeColor="text1"/>
        </w:rPr>
      </w:pPr>
      <w:r>
        <w:t>La Sección 2 presenta los datos, la representación día × hora, la selección funcional, los modelos globales y locales, las estadísticas y la evaluación. Las Secciones 3 y 4 se reservarán, respectivamente, para resultados y discusión una vez ejecutado el análisis.</w:t>
      </w:r>
    </w:p>
    <w:p w14:paraId="78B1634C" w14:textId="77777777" w:rsidR="000717CB" w:rsidRPr="00EB4A3D" w:rsidRDefault="00000000">
      <w:pPr>
        <w:pStyle w:val="Ttulo1"/>
        <w:rPr>
          <w:color w:val="000000" w:themeColor="text1"/>
        </w:rPr>
      </w:pPr>
      <w:r w:rsidRPr="00EB4A3D">
        <w:rPr>
          <w:color w:val="000000" w:themeColor="text1"/>
        </w:rPr>
        <w:t>2. Metodología</w:t>
      </w:r>
    </w:p>
    <w:p w14:paraId="483B6500" w14:textId="77777777" w:rsidR="000717CB" w:rsidRPr="00EB4A3D" w:rsidRDefault="00000000">
      <w:pPr>
        <w:pStyle w:val="FirstParagraph"/>
        <w:rPr>
          <w:color w:val="000000" w:themeColor="text1"/>
        </w:rPr>
      </w:pPr>
      <w:r>
        <w:t xml:space="preserve">La metodología comprende seis etapas: (1) preparación temporal de BATADAL; (2) construcción y selección de representaciones funcionales; (3) organización física de señales y reducción global/local; (4) estadísticas de anomalía y calibración; (5) </w:t>
      </w:r>
      <w:r>
        <w:lastRenderedPageBreak/>
        <w:t>detección y análisis espacial; y (6) evaluación y validación externa. Las decisiones del modelo se tomarán con los datos de referencia, sin consultar etiquetas de ataque.</w:t>
      </w:r>
    </w:p>
    <w:p w14:paraId="299E9DB9" w14:textId="77777777" w:rsidR="000717CB" w:rsidRPr="00EB4A3D" w:rsidRDefault="00000000">
      <w:pPr>
        <w:pStyle w:val="Ttulo2"/>
        <w:rPr>
          <w:color w:val="000000" w:themeColor="text1"/>
        </w:rPr>
      </w:pPr>
      <w:bookmarkStart w:id="0" w:name="Xdacd310a56392771f302df807942f3f67c5f7fb"/>
      <w:r w:rsidRPr="00EB4A3D">
        <w:rPr>
          <w:color w:val="000000" w:themeColor="text1"/>
        </w:rPr>
        <w:t>2.1. Conjunto de datos y separación entre desarrollo y evaluación</w:t>
      </w:r>
    </w:p>
    <w:p w14:paraId="45158B30" w14:textId="77777777" w:rsidR="000717CB" w:rsidRPr="00EB4A3D" w:rsidRDefault="00000000">
      <w:pPr>
        <w:pStyle w:val="FirstParagraph"/>
        <w:rPr>
          <w:color w:val="000000" w:themeColor="text1"/>
        </w:rPr>
      </w:pPr>
      <w:r>
        <w:t>Se utilizarán tres particiones de BATADAL con 43 variables operacionales y una marca temporal DATETIME: dataset03, dataset04 y test. Incluyen niveles, caudales, presiones y estados de bombas o válvulas. La variable ATT_FLAG, cuando existe, se reservará exclusivamente para evaluar y no formará parte de la entrada del modelo.</w:t>
      </w:r>
    </w:p>
    <w:p w14:paraId="66898721" w14:textId="77777777" w:rsidR="000717CB" w:rsidRPr="00EB4A3D" w:rsidRDefault="00000000">
      <w:pPr>
        <w:pStyle w:val="Textoindependiente"/>
        <w:rPr>
          <w:color w:val="000000" w:themeColor="text1"/>
        </w:rPr>
      </w:pPr>
      <w:r>
        <w:t>Los periodos son diferentes y no son contiguos: dataset03 cubre del 6 de enero de 2014 al 6 de enero de 2015; dataset04, del 4 de julio al 25 de diciembre de 2016; y test, del 4 de enero al 1 de abril de 2017. Cada archivo se tratará con su cronología interna, sin interpolar los intervalos entre particiones ni asumir que los registros son consecutivos entre archivos.</w:t>
      </w:r>
    </w:p>
    <w:p w14:paraId="4511DCE6" w14:textId="77777777" w:rsidR="00861F5E" w:rsidRDefault="00000000">
      <w:r>
        <w:t>dataset03 contiene 365 días completos que se emplearán como referencia. dataset04 dispone de 174 días completos con eventos conocidos y registros de estado no confirmado; se destinará a evaluación intermedia. Ambos archivos tienen una observación terminal que no forma un día completo. La exploración previa de dataset04 será declarada y no se utilizará para ajustar retrospectivamente las elecciones del modelo.</w:t>
      </w:r>
    </w:p>
    <w:p w14:paraId="59542A36" w14:textId="77777777" w:rsidR="00861F5E" w:rsidRDefault="00000000">
      <w:r>
        <w:t>test aporta 87 días completos y una observación terminal adicional. Como no incluye ATT_FLAG, sus etiquetas de evaluación se reconstruirán exclusivamente a partir de las siete ventanas oficiales de ataque, después de fijar el procedimiento. La ausencia de una ventana de ataque se tratará como estado normal únicamente conforme a esa convención de etiquetado, no como certificación independiente de ausencia de anomalías.</w:t>
      </w:r>
    </w:p>
    <w:p w14:paraId="0CE43E79" w14:textId="77777777" w:rsidR="000717CB" w:rsidRPr="00EB4A3D" w:rsidRDefault="00000000">
      <w:pPr>
        <w:pStyle w:val="Ttulo2"/>
        <w:rPr>
          <w:color w:val="000000" w:themeColor="text1"/>
        </w:rPr>
      </w:pPr>
      <w:bookmarkStart w:id="1" w:name="X43b785a92a3af6accb4b231fe6071fca94f13c1"/>
      <w:bookmarkEnd w:id="0"/>
      <w:r w:rsidRPr="00EB4A3D">
        <w:rPr>
          <w:color w:val="000000" w:themeColor="text1"/>
        </w:rPr>
        <w:t>2.2. Control de calidad y particionamiento temporal</w:t>
      </w:r>
    </w:p>
    <w:p w14:paraId="2B3D6E2B" w14:textId="77777777" w:rsidR="000717CB" w:rsidRPr="00EB4A3D" w:rsidRDefault="00000000">
      <w:pPr>
        <w:pStyle w:val="FirstParagraph"/>
        <w:rPr>
          <w:color w:val="000000" w:themeColor="text1"/>
        </w:rPr>
      </w:pPr>
      <w:r>
        <w:t>Se comprobarán duplicados de DATETIME, continuidad horaria dentro de cada archivo, datos faltantes, tipo de señal y número de observaciones por fecha. Solo se utilizarán fechas con 24 registros válidos y ordenados de 00:00 a 23:00. Los intervalos sin registros entre archivos no se interpolarán.</w:t>
      </w:r>
    </w:p>
    <w:p w14:paraId="6EB822A9" w14:textId="77777777" w:rsidR="000717CB" w:rsidRPr="00EB4A3D" w:rsidRDefault="00000000">
      <w:pPr>
        <w:pStyle w:val="Textoindependiente"/>
        <w:rPr>
          <w:color w:val="000000" w:themeColor="text1"/>
        </w:rPr>
      </w:pPr>
      <w:r w:rsidRPr="00EB4A3D">
        <w:rPr>
          <w:color w:val="000000" w:themeColor="text1"/>
        </w:rPr>
        <w:t>La unidad estadística será el día:</w:t>
      </w:r>
    </w:p>
    <w:p w14:paraId="2916B2B2" w14:textId="77777777" w:rsidR="00861F5E" w:rsidRDefault="00000000">
      <w:pPr>
        <w:pStyle w:val="Textoindependiente"/>
        <w:rPr>
          <w:color w:val="000000" w:themeColor="text1"/>
        </w:rPr>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p w14:paraId="66D20F88" w14:textId="77777777" w:rsidR="000717CB" w:rsidRPr="00EB4A3D" w:rsidRDefault="00000000">
      <w:pPr>
        <w:pStyle w:val="FirstParagraph"/>
        <w:rPr>
          <w:color w:val="000000" w:themeColor="text1"/>
        </w:rPr>
      </w:pPr>
      <w:r w:rsidRPr="00EB4A3D">
        <w:rPr>
          <w:color w:val="000000" w:themeColor="text1"/>
        </w:rPr>
        <w:t>y el dominio funcional estará formado por las 24 horas:</w:t>
      </w:r>
    </w:p>
    <w:p w14:paraId="23AACF71" w14:textId="77777777" w:rsidR="00861F5E" w:rsidRDefault="00000000">
      <w:pPr>
        <w:pStyle w:val="Textoindependiente"/>
        <w:rPr>
          <w:color w:val="000000" w:themeColor="text1"/>
        </w:rPr>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6AE4DF44" w14:textId="77777777" w:rsidR="000717CB" w:rsidRPr="00EB4A3D" w:rsidRDefault="00000000">
      <w:pPr>
        <w:pStyle w:val="FirstParagraph"/>
        <w:rPr>
          <w:color w:val="000000" w:themeColor="text1"/>
        </w:rPr>
      </w:pPr>
      <w:r>
        <w:rPr>
          <w:color w:val="000000" w:themeColor="text1"/>
        </w:rPr>
        <w:t>Para cada variable operacional</w:t>
      </w:r>
      <m:oMath>
        <m:r>
          <w:rPr>
            <w:rFonts w:ascii="Cambria Math" w:hAnsi="Cambria Math"/>
          </w:rPr>
          <m:t>j</m:t>
        </m:r>
      </m:oMath>
      <w:r>
        <w:rPr>
          <w:color w:val="000000" w:themeColor="text1"/>
        </w:rPr>
        <w:t>se construirá una matriz:</w:t>
      </w:r>
    </w:p>
    <w:p w14:paraId="69561CE6" w14:textId="77777777" w:rsidR="00861F5E" w:rsidRDefault="00000000">
      <w:pPr>
        <w:pStyle w:val="FirstParagraph"/>
      </w:pPr>
      <m:oMathPara>
        <m:oMathParaPr>
          <m:jc m:val="center"/>
        </m:oMathPara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j</m:t>
                  </m:r>
                </m:e>
              </m:d>
            </m:sup>
          </m:s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ih</m:t>
              </m:r>
            </m:sub>
            <m:sup>
              <m:d>
                <m:dPr>
                  <m:ctrlPr>
                    <w:rPr>
                      <w:rFonts w:ascii="Cambria Math" w:hAnsi="Cambria Math"/>
                    </w:rPr>
                  </m:ctrlPr>
                </m:dPr>
                <m:e>
                  <m:r>
                    <w:rPr>
                      <w:rFonts w:ascii="Cambria Math" w:hAnsi="Cambria Math"/>
                    </w:rPr>
                    <m:t>j</m:t>
                  </m:r>
                </m:e>
              </m:d>
            </m:sup>
          </m:sSubSup>
          <m:sSub>
            <m:sSubPr>
              <m:ctrlPr>
                <w:rPr>
                  <w:rFonts w:ascii="Cambria Math" w:hAnsi="Cambria Math"/>
                </w:rPr>
              </m:ctrlPr>
            </m:sSub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24</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24</m:t>
              </m:r>
            </m:sup>
          </m:sSup>
        </m:oMath>
      </m:oMathPara>
    </w:p>
    <w:p w14:paraId="279FA4A8" w14:textId="77777777" w:rsidR="000717CB" w:rsidRPr="00EB4A3D" w:rsidRDefault="00000000">
      <w:pPr>
        <w:pStyle w:val="FirstParagraph"/>
        <w:rPr>
          <w:color w:val="000000" w:themeColor="text1"/>
        </w:rPr>
      </w:pPr>
      <w:r>
        <w:lastRenderedPageBreak/>
        <w:t>Cada fila será una trayectoria diaria y cada columna una hora del dominio 0:23. Así se obtendrán, por variable, matrices de 365 × 24, 174 × 24 y 87 × 24 para dataset03, dataset04 y test, respectivamente. El vector diario de la variable</w:t>
      </w:r>
      <m:oMath>
        <m:r>
          <w:rPr>
            <w:rFonts w:ascii="Cambria Math" w:hAnsi="Cambria Math"/>
          </w:rPr>
          <m:t>j</m:t>
        </m:r>
      </m:oMath>
      <w:r>
        <w:t>se expresa como:</w:t>
      </w:r>
    </w:p>
    <w:p w14:paraId="327C9999" w14:textId="77777777" w:rsidR="00861F5E" w:rsidRDefault="00000000">
      <w:pPr>
        <w:pStyle w:val="FirstParagraph"/>
      </w:pPr>
      <m:oMathPara>
        <m:oMathParaPr>
          <m:jc m:val="center"/>
        </m:oMathParaPr>
        <m:oMath>
          <m:sSubSup>
            <m:sSubSupPr>
              <m:ctrlPr>
                <w:rPr>
                  <w:rFonts w:ascii="Cambria Math" w:hAnsi="Cambria Math"/>
                </w:rPr>
              </m:ctrlPr>
            </m:sSubSupPr>
            <m:e>
              <m:r>
                <m:rPr>
                  <m:sty m:val="b"/>
                </m:rP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i0</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i1</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23</m:t>
                  </m:r>
                </m:sub>
                <m:sup>
                  <m:d>
                    <m:dPr>
                      <m:ctrlPr>
                        <w:rPr>
                          <w:rFonts w:ascii="Cambria Math" w:hAnsi="Cambria Math"/>
                        </w:rPr>
                      </m:ctrlPr>
                    </m:dPr>
                    <m:e>
                      <m:r>
                        <w:rPr>
                          <w:rFonts w:ascii="Cambria Math" w:hAnsi="Cambria Math"/>
                        </w:rPr>
                        <m:t>j</m:t>
                      </m:r>
                    </m:e>
                  </m:d>
                </m:sup>
              </m:sSubSup>
            </m:e>
          </m:d>
        </m:oMath>
      </m:oMathPara>
    </w:p>
    <w:p w14:paraId="711D50E1" w14:textId="77777777" w:rsidR="00861F5E" w:rsidRDefault="00000000">
      <w:pPr>
        <w:pStyle w:val="FirstParagraph"/>
      </w:pPr>
      <w:r>
        <w:t xml:space="preserve">En R se utilizará fda.usc para crear objetos fdata por señal con argvals = 0:23 y rangeval = c(0, 23). Esta organización permitirá calcular representaciones en bases, FPCA y medidas de profundidad funcional </w:t>
      </w:r>
      <w:sdt>
        <w:sdtPr>
          <w:id w:val="1800000011"/>
          <w:citation/>
        </w:sdtPr>
        <w:sdtContent>
          <w:r>
            <w:fldChar w:fldCharType="begin"/>
          </w:r>
          <w:r>
            <w:instrText xml:space="preserve"> CITATION FebreroBande2012 \l 2058 </w:instrText>
          </w:r>
          <w:r>
            <w:fldChar w:fldCharType="separate"/>
          </w:r>
          <w:r w:rsidR="004D0E2C" w:rsidRPr="004D0E2C">
            <w:rPr>
              <w:noProof/>
            </w:rPr>
            <w:t>(Febrero-Bande &amp; Oviedo de la Fuente, 2012)</w:t>
          </w:r>
          <w:r>
            <w:fldChar w:fldCharType="end"/>
          </w:r>
        </w:sdtContent>
      </w:sdt>
      <w:r>
        <w:t>. No debe confundirse la estructura matricial con una suposición de continuidad entre las tres particiones.</w:t>
      </w:r>
    </w:p>
    <w:p w14:paraId="0CB4C0D3" w14:textId="77777777" w:rsidR="000717CB" w:rsidRPr="00EB4A3D" w:rsidRDefault="00000000">
      <w:pPr>
        <w:pStyle w:val="FirstParagraph"/>
        <w:rPr>
          <w:color w:val="000000" w:themeColor="text1"/>
        </w:rPr>
      </w:pPr>
      <w:r>
        <w:t>Las fechas originales se conservarán como índices para vincular las curvas con las alarmas y los eventos documentados. Las transformaciones aprendidas en la referencia se aplicarán sin reajuste con información de los periodos evaluados.</w:t>
      </w:r>
    </w:p>
    <w:p w14:paraId="0D562683" w14:textId="77777777" w:rsidR="000717CB" w:rsidRPr="00EB4A3D" w:rsidRDefault="00000000">
      <w:pPr>
        <w:pStyle w:val="Ttulo2"/>
        <w:rPr>
          <w:color w:val="000000" w:themeColor="text1"/>
        </w:rPr>
      </w:pPr>
      <w:bookmarkStart w:id="2" w:name="de-observaciones-discretas-a-funciones"/>
      <w:bookmarkEnd w:id="1"/>
      <w:r w:rsidRPr="00EB4A3D">
        <w:rPr>
          <w:color w:val="000000" w:themeColor="text1"/>
        </w:rPr>
        <w:t>2.3. De observaciones discretas a funciones</w:t>
      </w:r>
    </w:p>
    <w:p w14:paraId="3D102A7C" w14:textId="77777777" w:rsidR="000717CB" w:rsidRPr="00EB4A3D" w:rsidRDefault="00EB4A3D">
      <w:pPr>
        <w:pStyle w:val="FirstParagraph"/>
        <w:rPr>
          <w:color w:val="000000" w:themeColor="text1"/>
        </w:rPr>
      </w:pPr>
      <w:r>
        <w:t xml:space="preserve">La conversión de observaciones discretas a funciones puede realizarse mediante interpolación o suavizado, según las propiedades del sensor y la presencia de ruido. La representación en bases permite resumir cada trayectoria mediante un número finito de coeficientes </w:t>
      </w:r>
      <w:sdt>
        <w:sdtPr>
          <w:rPr>
            <w:color w:val="000000" w:themeColor="text1"/>
          </w:rPr>
          <w:id w:val="-1979288998"/>
          <w:citation/>
        </w:sdtPr>
        <w:sdtContent>
          <w:r>
            <w:rPr>
              <w:color w:val="000000" w:themeColor="text1"/>
            </w:rPr>
            <w:fldChar w:fldCharType="begin"/>
          </w:r>
          <w:r>
            <w:rPr>
              <w:color w:val="000000" w:themeColor="text1"/>
              <w:lang w:val="es-MX"/>
            </w:rPr>
            <w:instrText xml:space="preserve"> CITATION RamsaySilverman2005 \l 2058 </w:instrText>
          </w:r>
          <w:r>
            <w:rPr>
              <w:color w:val="000000" w:themeColor="text1"/>
            </w:rPr>
            <w:fldChar w:fldCharType="separate"/>
          </w:r>
          <w:r w:rsidR="004D0E2C" w:rsidRPr="004D0E2C">
            <w:rPr>
              <w:noProof/>
              <w:color w:val="000000" w:themeColor="text1"/>
              <w:lang w:val="es-MX"/>
            </w:rPr>
            <w:t>(Ramsay &amp; Silverman, 2005)</w:t>
          </w:r>
          <w:r>
            <w:rPr>
              <w:color w:val="000000" w:themeColor="text1"/>
            </w:rPr>
            <w:fldChar w:fldCharType="end"/>
          </w:r>
        </w:sdtContent>
      </w:sdt>
      <w:r>
        <w:t>.</w:t>
      </w:r>
    </w:p>
    <w:p w14:paraId="303AA80C" w14:textId="77777777" w:rsidR="000717CB" w:rsidRPr="00EB4A3D" w:rsidRDefault="00000000">
      <w:pPr>
        <w:pStyle w:val="Textoindependiente"/>
        <w:rPr>
          <w:color w:val="000000" w:themeColor="text1"/>
        </w:rPr>
      </w:pPr>
      <w:r>
        <w:rPr>
          <w:color w:val="000000" w:themeColor="text1"/>
        </w:rPr>
        <w:t>Para cada variable</w:t>
      </w:r>
      <m:oMath>
        <m:r>
          <w:rPr>
            <w:rFonts w:ascii="Cambria Math" w:hAnsi="Cambria Math"/>
          </w:rPr>
          <m:t>j</m:t>
        </m:r>
      </m:oMath>
      <w:r>
        <w:rPr>
          <w:color w:val="000000" w:themeColor="text1"/>
        </w:rPr>
        <w:t>y día</w:t>
      </w:r>
      <m:oMath>
        <m:r>
          <w:rPr>
            <w:rFonts w:ascii="Cambria Math" w:hAnsi="Cambria Math"/>
          </w:rPr>
          <m:t>i</m:t>
        </m:r>
      </m:oMath>
      <w:r>
        <w:rPr>
          <w:color w:val="000000" w:themeColor="text1"/>
        </w:rPr>
        <w:t xml:space="preserve"> la representación funcional se escribirá como:</w:t>
      </w:r>
    </w:p>
    <w:p w14:paraId="554D9565" w14:textId="77777777" w:rsidR="00861F5E" w:rsidRDefault="00000000">
      <w:pPr>
        <w:pStyle w:val="Textoindependiente"/>
        <w:rPr>
          <w:color w:val="000000" w:themeColor="text1"/>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c</m:t>
                  </m:r>
                </m:e>
                <m:sub>
                  <m:r>
                    <w:rPr>
                      <w:rFonts w:ascii="Cambria Math" w:hAnsi="Cambria Math"/>
                    </w:rPr>
                    <m:t>ik</m:t>
                  </m:r>
                </m:sub>
                <m:sup>
                  <m:d>
                    <m:dPr>
                      <m:ctrlPr>
                        <w:rPr>
                          <w:rFonts w:ascii="Cambria Math" w:hAnsi="Cambria Math"/>
                        </w:rPr>
                      </m:ctrlPr>
                    </m:dPr>
                    <m:e>
                      <m:r>
                        <w:rPr>
                          <w:rFonts w:ascii="Cambria Math" w:hAnsi="Cambria Math"/>
                        </w:rPr>
                        <m:t>j</m:t>
                      </m:r>
                    </m:e>
                  </m:d>
                </m:sup>
              </m:sSubSup>
            </m:e>
          </m:nary>
          <m:sSubSup>
            <m:sSubSupPr>
              <m:ctrlPr>
                <w:rPr>
                  <w:rFonts w:ascii="Cambria Math" w:hAnsi="Cambria Math"/>
                </w:rPr>
              </m:ctrlPr>
            </m:sSubSupPr>
            <m:e>
              <m:r>
                <w:rPr>
                  <w:rFonts w:ascii="Cambria Math" w:hAnsi="Cambria Math"/>
                </w:rPr>
                <m:t>B</m:t>
              </m:r>
            </m:e>
            <m:sub>
              <m:r>
                <w:rPr>
                  <w:rFonts w:ascii="Cambria Math" w:hAnsi="Cambria Math"/>
                </w:rPr>
                <m:t>k</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23</m:t>
          </m:r>
        </m:oMath>
      </m:oMathPara>
    </w:p>
    <w:p w14:paraId="1C693702" w14:textId="77777777" w:rsidR="000717CB" w:rsidRPr="00EB4A3D" w:rsidRDefault="00000000">
      <w:pPr>
        <w:pStyle w:val="FirstParagraph"/>
        <w:rPr>
          <w:color w:val="000000" w:themeColor="text1"/>
        </w:rPr>
      </w:pPr>
      <w:r>
        <w:t xml:space="preserve">donde </w:t>
      </w:r>
      <m:oMath>
        <m:sSubSup>
          <m:sSubSupPr>
            <m:ctrlPr>
              <w:rPr>
                <w:rFonts w:ascii="Cambria Math" w:hAnsi="Cambria Math"/>
              </w:rPr>
            </m:ctrlPr>
          </m:sSubSupPr>
          <m:e>
            <m:r>
              <w:rPr>
                <w:rFonts w:ascii="Cambria Math" w:hAnsi="Cambria Math"/>
              </w:rPr>
              <m:t>B</m:t>
            </m:r>
          </m:e>
          <m:sub>
            <m:r>
              <w:rPr>
                <w:rFonts w:ascii="Cambria Math" w:hAnsi="Cambria Math"/>
              </w:rPr>
              <m:t>k</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oMath>
      <w:r>
        <w:t xml:space="preserve"> denota la k-ésima función base, </w:t>
      </w:r>
      <m:oMath>
        <m:sSubSup>
          <m:sSubSupPr>
            <m:ctrlPr>
              <w:rPr>
                <w:rFonts w:ascii="Cambria Math" w:hAnsi="Cambria Math"/>
              </w:rPr>
            </m:ctrlPr>
          </m:sSubSupPr>
          <m:e>
            <m:r>
              <w:rPr>
                <w:rFonts w:ascii="Cambria Math" w:hAnsi="Cambria Math"/>
              </w:rPr>
              <m:t>c</m:t>
            </m:r>
          </m:e>
          <m:sub>
            <m:r>
              <w:rPr>
                <w:rFonts w:ascii="Cambria Math" w:hAnsi="Cambria Math"/>
              </w:rPr>
              <m:t>ik</m:t>
            </m:r>
          </m:sub>
          <m:sup>
            <m:d>
              <m:dPr>
                <m:ctrlPr>
                  <w:rPr>
                    <w:rFonts w:ascii="Cambria Math" w:hAnsi="Cambria Math"/>
                  </w:rPr>
                </m:ctrlPr>
              </m:dPr>
              <m:e>
                <m:r>
                  <w:rPr>
                    <w:rFonts w:ascii="Cambria Math" w:hAnsi="Cambria Math"/>
                  </w:rPr>
                  <m:t>j</m:t>
                </m:r>
              </m:e>
            </m:d>
          </m:sup>
        </m:sSubSup>
      </m:oMath>
      <w:r>
        <w:t xml:space="preserve"> su coeficiente 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el número de funciones base de la variable j.</w:t>
      </w:r>
    </w:p>
    <w:p w14:paraId="0B70101C" w14:textId="77777777" w:rsidR="000717CB" w:rsidRPr="00EB4A3D" w:rsidRDefault="00000000">
      <w:pPr>
        <w:pStyle w:val="Textoindependiente"/>
        <w:rPr>
          <w:color w:val="000000" w:themeColor="text1"/>
        </w:rPr>
      </w:pPr>
      <w:r>
        <w:t>La familia de bases y su complejidad se seleccionarán usando exclusivamente las curvas de referencia; las representaciones de señales continuas y discretas no se tratarán de manera indistinta.</w:t>
      </w:r>
    </w:p>
    <w:bookmarkEnd w:id="2"/>
    <w:p w14:paraId="6526C77B" w14:textId="77777777" w:rsidR="000717CB" w:rsidRPr="00EB4A3D" w:rsidRDefault="00000000">
      <w:pPr>
        <w:pStyle w:val="Ttulo2"/>
        <w:rPr>
          <w:color w:val="000000" w:themeColor="text1"/>
        </w:rPr>
      </w:pPr>
      <w:r w:rsidRPr="00EB4A3D">
        <w:rPr>
          <w:color w:val="000000" w:themeColor="text1"/>
        </w:rPr>
        <w:t>2.4. Familias de bases funcionales</w:t>
      </w:r>
    </w:p>
    <w:p w14:paraId="1BBF9433" w14:textId="77777777" w:rsidR="000717CB" w:rsidRPr="00EB4A3D" w:rsidRDefault="00000000">
      <w:pPr>
        <w:pStyle w:val="FirstParagraph"/>
        <w:rPr>
          <w:color w:val="000000" w:themeColor="text1"/>
        </w:rPr>
      </w:pPr>
      <w:r>
        <w:t xml:space="preserve">Las trayectorias continuas se compararán con representaciones B-spline, Fourier y Haar/wavelet cuando sean compatibles con la señal; los estados binarios se mantendrán mediante funciones escalonadas y las constantes mediante una función base constante. Esta distinción evita suavizar estados discretos o eliminar referencias constantes que podrían actuar como sentinelas </w:t>
      </w:r>
      <w:sdt>
        <w:sdtPr>
          <w:rPr>
            <w:color w:val="000000" w:themeColor="text1"/>
          </w:rPr>
          <w:id w:val="-1725830833"/>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r>
        <w:t>.</w:t>
      </w:r>
    </w:p>
    <w:tbl>
      <w:tblPr>
        <w:tblStyle w:val="Table"/>
        <w:tblW w:w="0" w:type="auto"/>
        <w:tblLook w:val="04A0" w:firstRow="1" w:lastRow="0" w:firstColumn="1" w:lastColumn="0" w:noHBand="0" w:noVBand="1"/>
      </w:tblPr>
      <w:tblGrid>
        <w:gridCol w:w="2957"/>
        <w:gridCol w:w="2955"/>
        <w:gridCol w:w="2916"/>
      </w:tblGrid>
      <w:tr w:rsidR="000717CB" w:rsidRPr="00EB4A3D" w14:paraId="5B7E3B6A" w14:textId="77777777" w:rsidTr="000717CB">
        <w:trPr>
          <w:cnfStyle w:val="100000000000" w:firstRow="1" w:lastRow="0" w:firstColumn="0" w:lastColumn="0" w:oddVBand="0" w:evenVBand="0" w:oddHBand="0" w:evenHBand="0" w:firstRowFirstColumn="0" w:firstRowLastColumn="0" w:lastRowFirstColumn="0" w:lastRowLastColumn="0"/>
        </w:trPr>
        <w:tc>
          <w:tcPr>
            <w:tcW w:w="3120" w:type="dxa"/>
            <w:tcBorders>
              <w:top w:val="single" w:sz="4" w:space="0" w:color="B8C4CE"/>
              <w:left w:val="single" w:sz="4" w:space="0" w:color="B8C4CE"/>
              <w:bottom w:val="single" w:sz="4" w:space="0" w:color="B8C4CE"/>
              <w:right w:val="single" w:sz="4" w:space="0" w:color="B8C4CE"/>
            </w:tcBorders>
            <w:shd w:val="clear" w:color="auto" w:fill="2F6B9A"/>
          </w:tcPr>
          <w:p w14:paraId="1FA52C31" w14:textId="77777777" w:rsidR="000717CB" w:rsidRPr="00EB4A3D" w:rsidRDefault="00000000">
            <w:pPr>
              <w:spacing w:after="40"/>
              <w:rPr>
                <w:color w:val="000000" w:themeColor="text1"/>
              </w:rPr>
            </w:pPr>
            <w:r w:rsidRPr="00EB4A3D">
              <w:rPr>
                <w:b/>
                <w:color w:val="000000" w:themeColor="text1"/>
                <w:sz w:val="18"/>
              </w:rPr>
              <w:t>Tipo de señal</w:t>
            </w:r>
          </w:p>
        </w:tc>
        <w:tc>
          <w:tcPr>
            <w:tcW w:w="3120" w:type="dxa"/>
            <w:tcBorders>
              <w:top w:val="single" w:sz="4" w:space="0" w:color="B8C4CE"/>
              <w:left w:val="single" w:sz="4" w:space="0" w:color="B8C4CE"/>
              <w:bottom w:val="single" w:sz="4" w:space="0" w:color="B8C4CE"/>
              <w:right w:val="single" w:sz="4" w:space="0" w:color="B8C4CE"/>
            </w:tcBorders>
            <w:shd w:val="clear" w:color="auto" w:fill="2F6B9A"/>
          </w:tcPr>
          <w:p w14:paraId="1E9D081A" w14:textId="77777777" w:rsidR="000717CB" w:rsidRPr="00EB4A3D" w:rsidRDefault="00000000">
            <w:pPr>
              <w:spacing w:after="40"/>
              <w:rPr>
                <w:color w:val="000000" w:themeColor="text1"/>
              </w:rPr>
            </w:pPr>
            <w:r w:rsidRPr="00EB4A3D">
              <w:rPr>
                <w:b/>
                <w:color w:val="000000" w:themeColor="text1"/>
                <w:sz w:val="18"/>
              </w:rPr>
              <w:t>Representación candidata</w:t>
            </w:r>
          </w:p>
        </w:tc>
        <w:tc>
          <w:tcPr>
            <w:tcW w:w="3120" w:type="dxa"/>
            <w:tcBorders>
              <w:top w:val="single" w:sz="4" w:space="0" w:color="B8C4CE"/>
              <w:left w:val="single" w:sz="4" w:space="0" w:color="B8C4CE"/>
              <w:bottom w:val="single" w:sz="4" w:space="0" w:color="B8C4CE"/>
              <w:right w:val="single" w:sz="4" w:space="0" w:color="B8C4CE"/>
            </w:tcBorders>
            <w:shd w:val="clear" w:color="auto" w:fill="2F6B9A"/>
          </w:tcPr>
          <w:p w14:paraId="094C9F0C" w14:textId="77777777" w:rsidR="000717CB" w:rsidRPr="00EB4A3D" w:rsidRDefault="00000000">
            <w:pPr>
              <w:spacing w:after="40"/>
              <w:rPr>
                <w:color w:val="000000" w:themeColor="text1"/>
              </w:rPr>
            </w:pPr>
            <w:r w:rsidRPr="00EB4A3D">
              <w:rPr>
                <w:b/>
                <w:color w:val="000000" w:themeColor="text1"/>
                <w:sz w:val="18"/>
              </w:rPr>
              <w:t>Criterio principal</w:t>
            </w:r>
          </w:p>
        </w:tc>
      </w:tr>
      <w:tr w:rsidR="000717CB" w:rsidRPr="00EB4A3D" w14:paraId="64D9AFE0" w14:textId="77777777" w:rsidTr="000717CB">
        <w:tc>
          <w:tcPr>
            <w:tcW w:w="3120" w:type="dxa"/>
            <w:tcBorders>
              <w:top w:val="single" w:sz="4" w:space="0" w:color="B8C4CE"/>
              <w:left w:val="single" w:sz="4" w:space="0" w:color="B8C4CE"/>
              <w:bottom w:val="single" w:sz="4" w:space="0" w:color="B8C4CE"/>
              <w:right w:val="single" w:sz="4" w:space="0" w:color="B8C4CE"/>
            </w:tcBorders>
          </w:tcPr>
          <w:p w14:paraId="14BA4A38" w14:textId="77777777" w:rsidR="000717CB" w:rsidRPr="00EB4A3D" w:rsidRDefault="00000000">
            <w:pPr>
              <w:spacing w:after="40"/>
              <w:rPr>
                <w:color w:val="000000" w:themeColor="text1"/>
              </w:rPr>
            </w:pPr>
            <w:r w:rsidRPr="00EB4A3D">
              <w:rPr>
                <w:color w:val="000000" w:themeColor="text1"/>
                <w:sz w:val="17"/>
              </w:rPr>
              <w:t>Continua no periódica</w:t>
            </w:r>
          </w:p>
        </w:tc>
        <w:tc>
          <w:tcPr>
            <w:tcW w:w="3120" w:type="dxa"/>
            <w:tcBorders>
              <w:top w:val="single" w:sz="4" w:space="0" w:color="B8C4CE"/>
              <w:left w:val="single" w:sz="4" w:space="0" w:color="B8C4CE"/>
              <w:bottom w:val="single" w:sz="4" w:space="0" w:color="B8C4CE"/>
              <w:right w:val="single" w:sz="4" w:space="0" w:color="B8C4CE"/>
            </w:tcBorders>
          </w:tcPr>
          <w:p w14:paraId="49BE11B9" w14:textId="77777777" w:rsidR="000717CB" w:rsidRPr="00EB4A3D" w:rsidRDefault="00000000">
            <w:pPr>
              <w:spacing w:after="40"/>
              <w:rPr>
                <w:color w:val="000000" w:themeColor="text1"/>
              </w:rPr>
            </w:pPr>
            <w:r w:rsidRPr="00EB4A3D">
              <w:rPr>
                <w:color w:val="000000" w:themeColor="text1"/>
                <w:sz w:val="17"/>
              </w:rPr>
              <w:t>B-</w:t>
            </w:r>
            <w:proofErr w:type="spellStart"/>
            <w:r w:rsidRPr="00EB4A3D">
              <w:rPr>
                <w:color w:val="000000" w:themeColor="text1"/>
                <w:sz w:val="17"/>
              </w:rPr>
              <w:t>spline</w:t>
            </w:r>
            <w:proofErr w:type="spellEnd"/>
          </w:p>
        </w:tc>
        <w:tc>
          <w:tcPr>
            <w:tcW w:w="3120" w:type="dxa"/>
            <w:tcBorders>
              <w:top w:val="single" w:sz="4" w:space="0" w:color="B8C4CE"/>
              <w:left w:val="single" w:sz="4" w:space="0" w:color="B8C4CE"/>
              <w:bottom w:val="single" w:sz="4" w:space="0" w:color="B8C4CE"/>
              <w:right w:val="single" w:sz="4" w:space="0" w:color="B8C4CE"/>
            </w:tcBorders>
          </w:tcPr>
          <w:p w14:paraId="1BBAB5B5" w14:textId="77777777" w:rsidR="000717CB" w:rsidRPr="00EB4A3D" w:rsidRDefault="00000000">
            <w:pPr>
              <w:spacing w:after="40"/>
              <w:rPr>
                <w:color w:val="000000" w:themeColor="text1"/>
              </w:rPr>
            </w:pPr>
            <w:r w:rsidRPr="00EB4A3D">
              <w:rPr>
                <w:color w:val="000000" w:themeColor="text1"/>
                <w:sz w:val="17"/>
              </w:rPr>
              <w:t>Flexibilidad local y suavidad.</w:t>
            </w:r>
          </w:p>
        </w:tc>
      </w:tr>
      <w:tr w:rsidR="000717CB" w:rsidRPr="00EB4A3D" w14:paraId="3B507F07" w14:textId="77777777" w:rsidTr="000717CB">
        <w:tc>
          <w:tcPr>
            <w:tcW w:w="3120" w:type="dxa"/>
            <w:tcBorders>
              <w:top w:val="single" w:sz="4" w:space="0" w:color="B8C4CE"/>
              <w:left w:val="single" w:sz="4" w:space="0" w:color="B8C4CE"/>
              <w:bottom w:val="single" w:sz="4" w:space="0" w:color="B8C4CE"/>
              <w:right w:val="single" w:sz="4" w:space="0" w:color="B8C4CE"/>
            </w:tcBorders>
          </w:tcPr>
          <w:p w14:paraId="0E3D1D63" w14:textId="77777777" w:rsidR="000717CB" w:rsidRPr="00EB4A3D" w:rsidRDefault="00000000">
            <w:pPr>
              <w:spacing w:after="40"/>
              <w:rPr>
                <w:color w:val="000000" w:themeColor="text1"/>
              </w:rPr>
            </w:pPr>
            <w:r w:rsidRPr="00EB4A3D">
              <w:rPr>
                <w:color w:val="000000" w:themeColor="text1"/>
                <w:sz w:val="17"/>
              </w:rPr>
              <w:t>Continua aproximadamente periódica</w:t>
            </w:r>
          </w:p>
        </w:tc>
        <w:tc>
          <w:tcPr>
            <w:tcW w:w="3120" w:type="dxa"/>
            <w:tcBorders>
              <w:top w:val="single" w:sz="4" w:space="0" w:color="B8C4CE"/>
              <w:left w:val="single" w:sz="4" w:space="0" w:color="B8C4CE"/>
              <w:bottom w:val="single" w:sz="4" w:space="0" w:color="B8C4CE"/>
              <w:right w:val="single" w:sz="4" w:space="0" w:color="B8C4CE"/>
            </w:tcBorders>
          </w:tcPr>
          <w:p w14:paraId="599D1FDA" w14:textId="77777777" w:rsidR="000717CB" w:rsidRPr="00EB4A3D" w:rsidRDefault="00000000">
            <w:pPr>
              <w:spacing w:after="40"/>
              <w:rPr>
                <w:color w:val="000000" w:themeColor="text1"/>
              </w:rPr>
            </w:pPr>
            <w:r w:rsidRPr="00EB4A3D">
              <w:rPr>
                <w:color w:val="000000" w:themeColor="text1"/>
                <w:sz w:val="17"/>
              </w:rPr>
              <w:t>Fourier</w:t>
            </w:r>
          </w:p>
        </w:tc>
        <w:tc>
          <w:tcPr>
            <w:tcW w:w="3120" w:type="dxa"/>
            <w:tcBorders>
              <w:top w:val="single" w:sz="4" w:space="0" w:color="B8C4CE"/>
              <w:left w:val="single" w:sz="4" w:space="0" w:color="B8C4CE"/>
              <w:bottom w:val="single" w:sz="4" w:space="0" w:color="B8C4CE"/>
              <w:right w:val="single" w:sz="4" w:space="0" w:color="B8C4CE"/>
            </w:tcBorders>
          </w:tcPr>
          <w:p w14:paraId="7BDBD392" w14:textId="77777777" w:rsidR="000717CB" w:rsidRPr="00EB4A3D" w:rsidRDefault="00000000">
            <w:pPr>
              <w:spacing w:after="40"/>
              <w:rPr>
                <w:color w:val="000000" w:themeColor="text1"/>
              </w:rPr>
            </w:pPr>
            <w:r w:rsidRPr="00EB4A3D">
              <w:rPr>
                <w:color w:val="000000" w:themeColor="text1"/>
                <w:sz w:val="17"/>
              </w:rPr>
              <w:t>Patrones repetitivos dentro del ciclo diario.</w:t>
            </w:r>
          </w:p>
        </w:tc>
      </w:tr>
      <w:tr w:rsidR="000717CB" w:rsidRPr="00EB4A3D" w14:paraId="3B5D00EE" w14:textId="77777777" w:rsidTr="000717CB">
        <w:tc>
          <w:tcPr>
            <w:tcW w:w="3120" w:type="dxa"/>
            <w:tcBorders>
              <w:top w:val="single" w:sz="4" w:space="0" w:color="B8C4CE"/>
              <w:left w:val="single" w:sz="4" w:space="0" w:color="B8C4CE"/>
              <w:bottom w:val="single" w:sz="4" w:space="0" w:color="B8C4CE"/>
              <w:right w:val="single" w:sz="4" w:space="0" w:color="B8C4CE"/>
            </w:tcBorders>
          </w:tcPr>
          <w:p w14:paraId="1A25F41B" w14:textId="77777777" w:rsidR="000717CB" w:rsidRPr="00EB4A3D" w:rsidRDefault="00000000">
            <w:pPr>
              <w:spacing w:after="40"/>
              <w:rPr>
                <w:color w:val="000000" w:themeColor="text1"/>
              </w:rPr>
            </w:pPr>
            <w:r w:rsidRPr="00EB4A3D">
              <w:rPr>
                <w:color w:val="000000" w:themeColor="text1"/>
                <w:sz w:val="17"/>
              </w:rPr>
              <w:t>Continua con cambios abruptos</w:t>
            </w:r>
          </w:p>
        </w:tc>
        <w:tc>
          <w:tcPr>
            <w:tcW w:w="3120" w:type="dxa"/>
            <w:tcBorders>
              <w:top w:val="single" w:sz="4" w:space="0" w:color="B8C4CE"/>
              <w:left w:val="single" w:sz="4" w:space="0" w:color="B8C4CE"/>
              <w:bottom w:val="single" w:sz="4" w:space="0" w:color="B8C4CE"/>
              <w:right w:val="single" w:sz="4" w:space="0" w:color="B8C4CE"/>
            </w:tcBorders>
          </w:tcPr>
          <w:p w14:paraId="3D126B01" w14:textId="77777777" w:rsidR="000717CB" w:rsidRPr="00EB4A3D" w:rsidRDefault="00000000">
            <w:pPr>
              <w:spacing w:after="40"/>
              <w:rPr>
                <w:color w:val="000000" w:themeColor="text1"/>
              </w:rPr>
            </w:pPr>
            <w:r w:rsidRPr="00EB4A3D">
              <w:rPr>
                <w:color w:val="000000" w:themeColor="text1"/>
                <w:sz w:val="17"/>
              </w:rPr>
              <w:t>Haar / wavelet</w:t>
            </w:r>
          </w:p>
        </w:tc>
        <w:tc>
          <w:tcPr>
            <w:tcW w:w="3120" w:type="dxa"/>
            <w:tcBorders>
              <w:top w:val="single" w:sz="4" w:space="0" w:color="B8C4CE"/>
              <w:left w:val="single" w:sz="4" w:space="0" w:color="B8C4CE"/>
              <w:bottom w:val="single" w:sz="4" w:space="0" w:color="B8C4CE"/>
              <w:right w:val="single" w:sz="4" w:space="0" w:color="B8C4CE"/>
            </w:tcBorders>
          </w:tcPr>
          <w:p w14:paraId="069FCBE0" w14:textId="77777777" w:rsidR="000717CB" w:rsidRPr="00EB4A3D" w:rsidRDefault="00000000">
            <w:pPr>
              <w:spacing w:after="40"/>
              <w:rPr>
                <w:color w:val="000000" w:themeColor="text1"/>
              </w:rPr>
            </w:pPr>
            <w:r w:rsidRPr="00EB4A3D">
              <w:rPr>
                <w:color w:val="000000" w:themeColor="text1"/>
                <w:sz w:val="17"/>
              </w:rPr>
              <w:t>Estructura localizada y transiciones.</w:t>
            </w:r>
          </w:p>
        </w:tc>
      </w:tr>
      <w:tr w:rsidR="000717CB" w:rsidRPr="00EB4A3D" w14:paraId="59961A19" w14:textId="77777777" w:rsidTr="000717CB">
        <w:tc>
          <w:tcPr>
            <w:tcW w:w="3120" w:type="dxa"/>
            <w:tcBorders>
              <w:top w:val="single" w:sz="4" w:space="0" w:color="B8C4CE"/>
              <w:left w:val="single" w:sz="4" w:space="0" w:color="B8C4CE"/>
              <w:bottom w:val="single" w:sz="4" w:space="0" w:color="B8C4CE"/>
              <w:right w:val="single" w:sz="4" w:space="0" w:color="B8C4CE"/>
            </w:tcBorders>
          </w:tcPr>
          <w:p w14:paraId="79F978E8" w14:textId="77777777" w:rsidR="000717CB" w:rsidRPr="00EB4A3D" w:rsidRDefault="00000000">
            <w:pPr>
              <w:spacing w:after="40"/>
              <w:rPr>
                <w:color w:val="000000" w:themeColor="text1"/>
              </w:rPr>
            </w:pPr>
            <w:r w:rsidRPr="00EB4A3D">
              <w:rPr>
                <w:color w:val="000000" w:themeColor="text1"/>
                <w:sz w:val="17"/>
              </w:rPr>
              <w:lastRenderedPageBreak/>
              <w:t>Binaria 0/1</w:t>
            </w:r>
          </w:p>
        </w:tc>
        <w:tc>
          <w:tcPr>
            <w:tcW w:w="3120" w:type="dxa"/>
            <w:tcBorders>
              <w:top w:val="single" w:sz="4" w:space="0" w:color="B8C4CE"/>
              <w:left w:val="single" w:sz="4" w:space="0" w:color="B8C4CE"/>
              <w:bottom w:val="single" w:sz="4" w:space="0" w:color="B8C4CE"/>
              <w:right w:val="single" w:sz="4" w:space="0" w:color="B8C4CE"/>
            </w:tcBorders>
          </w:tcPr>
          <w:p w14:paraId="72A0634D" w14:textId="77777777" w:rsidR="000717CB" w:rsidRPr="00EB4A3D" w:rsidRDefault="00000000">
            <w:pPr>
              <w:spacing w:after="40"/>
              <w:rPr>
                <w:color w:val="000000" w:themeColor="text1"/>
              </w:rPr>
            </w:pPr>
            <w:r w:rsidRPr="00EB4A3D">
              <w:rPr>
                <w:color w:val="000000" w:themeColor="text1"/>
                <w:sz w:val="17"/>
              </w:rPr>
              <w:t>Función escalonada</w:t>
            </w:r>
          </w:p>
        </w:tc>
        <w:tc>
          <w:tcPr>
            <w:tcW w:w="3120" w:type="dxa"/>
            <w:tcBorders>
              <w:top w:val="single" w:sz="4" w:space="0" w:color="B8C4CE"/>
              <w:left w:val="single" w:sz="4" w:space="0" w:color="B8C4CE"/>
              <w:bottom w:val="single" w:sz="4" w:space="0" w:color="B8C4CE"/>
              <w:right w:val="single" w:sz="4" w:space="0" w:color="B8C4CE"/>
            </w:tcBorders>
          </w:tcPr>
          <w:p w14:paraId="0E0E671A" w14:textId="77777777" w:rsidR="000717CB" w:rsidRPr="00EB4A3D" w:rsidRDefault="00000000">
            <w:pPr>
              <w:spacing w:after="40"/>
              <w:rPr>
                <w:color w:val="000000" w:themeColor="text1"/>
              </w:rPr>
            </w:pPr>
            <w:r w:rsidRPr="00EB4A3D">
              <w:rPr>
                <w:color w:val="000000" w:themeColor="text1"/>
                <w:sz w:val="17"/>
              </w:rPr>
              <w:t>Preservar estados discretos.</w:t>
            </w:r>
          </w:p>
        </w:tc>
      </w:tr>
      <w:tr w:rsidR="000717CB" w:rsidRPr="00EB4A3D" w14:paraId="5CDD5B89" w14:textId="77777777" w:rsidTr="000717CB">
        <w:tc>
          <w:tcPr>
            <w:tcW w:w="3120" w:type="dxa"/>
            <w:tcBorders>
              <w:top w:val="single" w:sz="4" w:space="0" w:color="B8C4CE"/>
              <w:left w:val="single" w:sz="4" w:space="0" w:color="B8C4CE"/>
              <w:bottom w:val="single" w:sz="4" w:space="0" w:color="B8C4CE"/>
              <w:right w:val="single" w:sz="4" w:space="0" w:color="B8C4CE"/>
            </w:tcBorders>
          </w:tcPr>
          <w:p w14:paraId="6E742020" w14:textId="77777777" w:rsidR="000717CB" w:rsidRPr="00EB4A3D" w:rsidRDefault="00000000">
            <w:pPr>
              <w:spacing w:after="40"/>
              <w:rPr>
                <w:color w:val="000000" w:themeColor="text1"/>
              </w:rPr>
            </w:pPr>
            <w:r w:rsidRPr="00EB4A3D">
              <w:rPr>
                <w:color w:val="000000" w:themeColor="text1"/>
                <w:sz w:val="17"/>
              </w:rPr>
              <w:t>Constante en referencia</w:t>
            </w:r>
          </w:p>
        </w:tc>
        <w:tc>
          <w:tcPr>
            <w:tcW w:w="3120" w:type="dxa"/>
            <w:tcBorders>
              <w:top w:val="single" w:sz="4" w:space="0" w:color="B8C4CE"/>
              <w:left w:val="single" w:sz="4" w:space="0" w:color="B8C4CE"/>
              <w:bottom w:val="single" w:sz="4" w:space="0" w:color="B8C4CE"/>
              <w:right w:val="single" w:sz="4" w:space="0" w:color="B8C4CE"/>
            </w:tcBorders>
          </w:tcPr>
          <w:p w14:paraId="78014CCE" w14:textId="77777777" w:rsidR="000717CB" w:rsidRPr="00EB4A3D" w:rsidRDefault="00000000">
            <w:pPr>
              <w:spacing w:after="40"/>
              <w:rPr>
                <w:color w:val="000000" w:themeColor="text1"/>
              </w:rPr>
            </w:pPr>
            <w:r w:rsidRPr="00EB4A3D">
              <w:rPr>
                <w:color w:val="000000" w:themeColor="text1"/>
                <w:sz w:val="17"/>
              </w:rPr>
              <w:t>Base constante</w:t>
            </w:r>
          </w:p>
        </w:tc>
        <w:tc>
          <w:tcPr>
            <w:tcW w:w="3120" w:type="dxa"/>
            <w:tcBorders>
              <w:top w:val="single" w:sz="4" w:space="0" w:color="B8C4CE"/>
              <w:left w:val="single" w:sz="4" w:space="0" w:color="B8C4CE"/>
              <w:bottom w:val="single" w:sz="4" w:space="0" w:color="B8C4CE"/>
              <w:right w:val="single" w:sz="4" w:space="0" w:color="B8C4CE"/>
            </w:tcBorders>
          </w:tcPr>
          <w:p w14:paraId="64EC6B4D" w14:textId="77777777" w:rsidR="000717CB" w:rsidRPr="00EB4A3D" w:rsidRDefault="00000000">
            <w:pPr>
              <w:spacing w:after="40"/>
              <w:rPr>
                <w:color w:val="000000" w:themeColor="text1"/>
              </w:rPr>
            </w:pPr>
            <w:r w:rsidRPr="00EB4A3D">
              <w:rPr>
                <w:color w:val="000000" w:themeColor="text1"/>
                <w:sz w:val="17"/>
              </w:rPr>
              <w:t xml:space="preserve">Conservar el nivel de referencia como posible señal </w:t>
            </w:r>
            <w:proofErr w:type="spellStart"/>
            <w:r w:rsidRPr="00EB4A3D">
              <w:rPr>
                <w:color w:val="000000" w:themeColor="text1"/>
                <w:sz w:val="17"/>
              </w:rPr>
              <w:t>sentinela</w:t>
            </w:r>
            <w:proofErr w:type="spellEnd"/>
            <w:r w:rsidRPr="00EB4A3D">
              <w:rPr>
                <w:color w:val="000000" w:themeColor="text1"/>
                <w:sz w:val="17"/>
              </w:rPr>
              <w:t>.</w:t>
            </w:r>
          </w:p>
        </w:tc>
      </w:tr>
    </w:tbl>
    <w:p w14:paraId="330D8C8F" w14:textId="77777777" w:rsidR="000717CB" w:rsidRPr="00EB4A3D" w:rsidRDefault="00000000">
      <w:pPr>
        <w:pStyle w:val="Ttulo3"/>
        <w:rPr>
          <w:color w:val="000000" w:themeColor="text1"/>
        </w:rPr>
      </w:pPr>
      <w:r w:rsidRPr="00EB4A3D">
        <w:rPr>
          <w:color w:val="000000" w:themeColor="text1"/>
        </w:rPr>
        <w:t>2.4.1. B-</w:t>
      </w:r>
      <w:proofErr w:type="spellStart"/>
      <w:r w:rsidRPr="00EB4A3D">
        <w:rPr>
          <w:color w:val="000000" w:themeColor="text1"/>
        </w:rPr>
        <w:t>splines</w:t>
      </w:r>
      <w:proofErr w:type="spellEnd"/>
    </w:p>
    <w:p w14:paraId="29D6121B" w14:textId="77777777" w:rsidR="000717CB" w:rsidRPr="00EB4A3D" w:rsidRDefault="00000000">
      <w:pPr>
        <w:pStyle w:val="FirstParagraph"/>
        <w:rPr>
          <w:color w:val="000000" w:themeColor="text1"/>
        </w:rPr>
      </w:pPr>
      <w:r>
        <w:rPr>
          <w:color w:val="000000" w:themeColor="text1"/>
        </w:rPr>
        <w:t xml:space="preserve">Las B-splines se utilizarán como candidatas para señales continuas no periódicas por su flexibilidad local. Cuando sea necesario controlar la rugosidad, los coeficientes se estimarán mediante mínimos cuadrados penalizados </w:t>
      </w:r>
      <w:sdt>
        <w:sdtPr>
          <w:rPr>
            <w:color w:val="000000" w:themeColor="text1"/>
          </w:rPr>
          <w:id w:val="-1578830142"/>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r>
        <w:rPr>
          <w:color w:val="000000" w:themeColor="text1"/>
        </w:rPr>
        <w:t>:</w:t>
      </w:r>
    </w:p>
    <w:p w14:paraId="14816C94"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c</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c</m:t>
                  </m:r>
                </m:e>
                <m:sub>
                  <m:r>
                    <w:rPr>
                      <w:rFonts w:ascii="Cambria Math" w:hAnsi="Cambria Math"/>
                    </w:rPr>
                    <m:t>i</m:t>
                  </m:r>
                </m:sub>
              </m:sSub>
            </m:lim>
          </m:limLow>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r>
                <m:rPr>
                  <m:sty m:val="b"/>
                </m:rPr>
                <w:rPr>
                  <w:rFonts w:ascii="Cambria Math" w:hAnsi="Cambria Math"/>
                </w:rPr>
                <m:t>B</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λ</m:t>
              </m:r>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r>
                    <m:rPr>
                      <m:sty m:val="p"/>
                    </m:rPr>
                    <w:rPr>
                      <w:rFonts w:ascii="Cambria Math" w:hAnsi="Cambria Math"/>
                    </w:rPr>
                    <m:t>⊤</m:t>
                  </m:r>
                </m:sup>
              </m:sSubSup>
              <m:r>
                <m:rPr>
                  <m:sty m:val="b"/>
                </m:rPr>
                <w:rPr>
                  <w:rFonts w:ascii="Cambria Math" w:hAnsi="Cambria Math"/>
                </w:rPr>
                <m:t>R</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p w14:paraId="442F2A47" w14:textId="77777777" w:rsidR="000717CB" w:rsidRPr="00EB4A3D" w:rsidRDefault="00000000">
      <w:pPr>
        <w:pStyle w:val="FirstParagraph"/>
        <w:rPr>
          <w:color w:val="000000" w:themeColor="text1"/>
        </w:rPr>
      </w:pPr>
      <w:r w:rsidRPr="00EB4A3D">
        <w:rPr>
          <w:color w:val="000000" w:themeColor="text1"/>
        </w:rPr>
        <w:t>cuya solución es:</w:t>
      </w:r>
    </w:p>
    <w:p w14:paraId="6075CEB1"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c</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r>
                    <m:rPr>
                      <m:sty m:val="b"/>
                    </m:rPr>
                    <w:rPr>
                      <w:rFonts w:ascii="Cambria Math" w:hAnsi="Cambria Math"/>
                    </w:rPr>
                    <m:t>B</m:t>
                  </m:r>
                  <m:r>
                    <m:rPr>
                      <m:sty m:val="p"/>
                    </m:rPr>
                    <w:rPr>
                      <w:rFonts w:ascii="Cambria Math" w:hAnsi="Cambria Math"/>
                    </w:rPr>
                    <m:t>+</m:t>
                  </m:r>
                  <m:r>
                    <w:rPr>
                      <w:rFonts w:ascii="Cambria Math" w:hAnsi="Cambria Math"/>
                    </w:rPr>
                    <m:t>λ</m:t>
                  </m:r>
                  <m:r>
                    <m:rPr>
                      <m:sty m:val="b"/>
                    </m:rPr>
                    <w:rPr>
                      <w:rFonts w:ascii="Cambria Math" w:hAnsi="Cambria Math"/>
                    </w:rPr>
                    <m:t>R</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y</m:t>
              </m:r>
            </m:e>
            <m:sub>
              <m:r>
                <w:rPr>
                  <w:rFonts w:ascii="Cambria Math" w:hAnsi="Cambria Math"/>
                </w:rPr>
                <m:t>i</m:t>
              </m:r>
            </m:sub>
          </m:sSub>
        </m:oMath>
      </m:oMathPara>
    </w:p>
    <w:p w14:paraId="22874188" w14:textId="77777777" w:rsidR="000717CB" w:rsidRPr="00EB4A3D" w:rsidRDefault="00000000">
      <w:pPr>
        <w:pStyle w:val="Textoindependiente"/>
        <w:rPr>
          <w:color w:val="000000" w:themeColor="text1"/>
        </w:rPr>
      </w:pPr>
      <w:r>
        <w:t xml:space="preserve">El número de funciones base </w:t>
      </w:r>
      <m:oMath>
        <m:r>
          <w:rPr>
            <w:rFonts w:ascii="Cambria Math" w:hAnsi="Cambria Math"/>
          </w:rPr>
          <m:t>K</m:t>
        </m:r>
      </m:oMath>
      <w:r>
        <w:t xml:space="preserve"> controla la flexibilidad y </w:t>
      </w:r>
      <m:oMath>
        <m:r>
          <w:rPr>
            <w:rFonts w:ascii="Cambria Math" w:hAnsi="Cambria Math"/>
          </w:rPr>
          <m:t>λ</m:t>
        </m:r>
      </m:oMath>
      <w:r>
        <w:t xml:space="preserve"> penaliza la rugosidad. La selección buscará representar las oscilaciones normales sin sobreajustar fluctuaciones horarias de escasa relevancia.</w:t>
      </w:r>
    </w:p>
    <w:p w14:paraId="39E9C118" w14:textId="77777777" w:rsidR="000717CB" w:rsidRPr="00EB4A3D" w:rsidRDefault="00000000">
      <w:pPr>
        <w:pStyle w:val="Ttulo3"/>
        <w:rPr>
          <w:color w:val="000000" w:themeColor="text1"/>
        </w:rPr>
      </w:pPr>
      <w:r w:rsidRPr="00EB4A3D">
        <w:rPr>
          <w:color w:val="000000" w:themeColor="text1"/>
        </w:rPr>
        <w:t>2.4.2. Base de Fourier</w:t>
      </w:r>
    </w:p>
    <w:p w14:paraId="57A18285" w14:textId="77777777" w:rsidR="000717CB" w:rsidRPr="00EB4A3D" w:rsidRDefault="00000000">
      <w:pPr>
        <w:pStyle w:val="FirstParagraph"/>
        <w:rPr>
          <w:color w:val="000000" w:themeColor="text1"/>
        </w:rPr>
      </w:pPr>
      <w:r>
        <w:t xml:space="preserve">Fourier se probará únicamente si hay un patrón cíclico y si los extremos del día son razonablemente compatibles con una extensión periódica. La expansión diaria de periodo 24 horas puede escribirse como: </w:t>
      </w:r>
      <w:sdt>
        <w:sdtPr>
          <w:rPr>
            <w:color w:val="000000" w:themeColor="text1"/>
          </w:rPr>
          <w:id w:val="-1372610207"/>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p>
    <w:p w14:paraId="6A19091F" w14:textId="77777777" w:rsidR="00861F5E" w:rsidRDefault="00000000">
      <w:pPr>
        <w:pStyle w:val="FirstParagraph"/>
        <w:rPr>
          <w:color w:val="000000" w:themeColor="text1"/>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i0</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H</m:t>
                  </m:r>
                </m:e>
                <m:sub>
                  <m:r>
                    <w:rPr>
                      <w:rFonts w:ascii="Cambria Math" w:hAnsi="Cambria Math"/>
                    </w:rPr>
                    <m:t>j</m:t>
                  </m:r>
                </m:sub>
              </m:s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sin</m:t>
                  </m:r>
                  <m:d>
                    <m:dPr>
                      <m:ctrlPr>
                        <w:rPr>
                          <w:rFonts w:ascii="Cambria Math" w:hAnsi="Cambria Math"/>
                        </w:rPr>
                      </m:ctrlPr>
                    </m:dPr>
                    <m:e>
                      <m:r>
                        <w:rPr>
                          <w:rFonts w:ascii="Cambria Math" w:hAnsi="Cambria Math"/>
                        </w:rPr>
                        <m:t>ωht</m:t>
                      </m:r>
                    </m:e>
                  </m:d>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cos</m:t>
                  </m:r>
                  <m:d>
                    <m:dPr>
                      <m:ctrlPr>
                        <w:rPr>
                          <w:rFonts w:ascii="Cambria Math" w:hAnsi="Cambria Math"/>
                        </w:rPr>
                      </m:ctrlPr>
                    </m:dPr>
                    <m:e>
                      <m:r>
                        <w:rPr>
                          <w:rFonts w:ascii="Cambria Math" w:hAnsi="Cambria Math"/>
                        </w:rPr>
                        <m:t>ωht</m:t>
                      </m:r>
                    </m:e>
                  </m:d>
                </m:e>
              </m:d>
            </m:e>
          </m:nary>
        </m:oMath>
      </m:oMathPara>
    </w:p>
    <w:p w14:paraId="5D7FDE2D" w14:textId="77777777" w:rsidR="00861F5E" w:rsidRDefault="00000000">
      <w:pPr>
        <w:pStyle w:val="FirstParagraph"/>
        <w:rPr>
          <w:color w:val="000000" w:themeColor="text1"/>
        </w:rPr>
      </w:pPr>
      <m:oMathPara>
        <m:oMathParaPr>
          <m:jc m:val="center"/>
        </m:oMathParaPr>
        <m:oMath>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24</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1</m:t>
          </m:r>
        </m:oMath>
      </m:oMathPara>
    </w:p>
    <w:p w14:paraId="0D7B3E1D" w14:textId="77777777" w:rsidR="000717CB" w:rsidRPr="00EB4A3D" w:rsidRDefault="00000000">
      <w:pPr>
        <w:pStyle w:val="Textoindependiente"/>
        <w:rPr>
          <w:color w:val="000000" w:themeColor="text1"/>
        </w:rPr>
      </w:pPr>
      <w:r>
        <w:t xml:space="preserve">Aquí </w:t>
      </w: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representa el número de armónicos y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1</m:t>
        </m:r>
      </m:oMath>
      <w:r>
        <w:t xml:space="preserve"> el número de funciones base. La periodicidad diaria y la compatibilidad entre los extremos deberán verificarse antes de adoptar esta representación.</w:t>
      </w:r>
    </w:p>
    <w:p w14:paraId="4C0AA93D" w14:textId="77777777" w:rsidR="000717CB" w:rsidRPr="00EB4A3D" w:rsidRDefault="00000000">
      <w:pPr>
        <w:pStyle w:val="Ttulo3"/>
        <w:rPr>
          <w:color w:val="000000" w:themeColor="text1"/>
        </w:rPr>
      </w:pPr>
      <w:r w:rsidRPr="00EB4A3D">
        <w:rPr>
          <w:color w:val="000000" w:themeColor="text1"/>
        </w:rPr>
        <w:t>2.4.3. Base Haar / wavelet</w:t>
      </w:r>
    </w:p>
    <w:p w14:paraId="500B66AC" w14:textId="77777777" w:rsidR="000717CB" w:rsidRPr="00EB4A3D" w:rsidRDefault="00000000">
      <w:pPr>
        <w:pStyle w:val="FirstParagraph"/>
        <w:rPr>
          <w:color w:val="000000" w:themeColor="text1"/>
        </w:rPr>
      </w:pPr>
      <w:r>
        <w:t xml:space="preserve">Las wavelets permitirán examinar cambios locales y transiciones que pueden quedar insuficientemente representadas por bases globales. La formulación general es: </w:t>
      </w:r>
      <w:sdt>
        <w:sdtPr>
          <w:rPr>
            <w:color w:val="000000" w:themeColor="text1"/>
          </w:rPr>
          <w:id w:val="977496201"/>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p>
    <w:p w14:paraId="606EA255" w14:textId="77777777" w:rsidR="00861F5E" w:rsidRDefault="00000000">
      <w:pPr>
        <w:pStyle w:val="FirstParagraph"/>
        <w:rPr>
          <w:color w:val="000000" w:themeColor="text1"/>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i0</m:t>
              </m:r>
            </m:sub>
            <m:sup>
              <m:d>
                <m:dPr>
                  <m:ctrlPr>
                    <w:rPr>
                      <w:rFonts w:ascii="Cambria Math" w:hAnsi="Cambria Math"/>
                    </w:rPr>
                  </m:ctrlPr>
                </m:dPr>
                <m:e>
                  <m:r>
                    <w:rPr>
                      <w:rFonts w:ascii="Cambria Math" w:hAnsi="Cambria Math"/>
                    </w:rPr>
                    <m:t>j</m:t>
                  </m:r>
                </m:e>
              </m:d>
            </m:sup>
          </m:sSubSup>
          <m:r>
            <w:rPr>
              <w:rFonts w:ascii="Cambria Math" w:hAnsi="Cambria Math"/>
            </w:rPr>
            <m:t>ϕ</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m:rPr>
                  <m:scr m:val="script"/>
                  <m:sty m:val="p"/>
                </m:rPr>
                <w:rPr>
                  <w:rFonts w:ascii="Cambria Math" w:hAnsi="Cambria Math"/>
                </w:rPr>
                <m:t>l=</m:t>
              </m:r>
              <m:r>
                <w:rPr>
                  <w:rFonts w:ascii="Cambria Math" w:hAnsi="Cambria Math"/>
                </w:rPr>
                <m:t>0</m:t>
              </m:r>
            </m:sub>
            <m:sup>
              <m:sSub>
                <m:sSubPr>
                  <m:ctrlPr>
                    <w:rPr>
                      <w:rFonts w:ascii="Cambria Math" w:hAnsi="Cambria Math"/>
                    </w:rPr>
                  </m:ctrlPr>
                </m:sSubPr>
                <m:e>
                  <m:r>
                    <w:rPr>
                      <w:rFonts w:ascii="Cambria Math" w:hAnsi="Cambria Math"/>
                    </w:rPr>
                    <m:t>L</m:t>
                  </m:r>
                </m:e>
                <m:sub>
                  <m:r>
                    <w:rPr>
                      <w:rFonts w:ascii="Cambria Math" w:hAnsi="Cambria Math"/>
                    </w:rPr>
                    <m:t>j</m:t>
                  </m:r>
                </m:sub>
              </m:sSub>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m:t>
                      </m:r>
                      <m:r>
                        <m:rPr>
                          <m:scr m:val="script"/>
                          <m:sty m:val="p"/>
                        </m:rPr>
                        <w:rPr>
                          <w:rFonts w:ascii="Cambria Math" w:hAnsi="Cambria Math"/>
                        </w:rPr>
                        <m:t>l</m:t>
                      </m:r>
                      <m:r>
                        <w:rPr>
                          <w:rFonts w:ascii="Cambria Math" w:hAnsi="Cambria Math"/>
                        </w:rPr>
                        <m:t>m</m:t>
                      </m:r>
                    </m:sub>
                    <m:sup>
                      <m:d>
                        <m:dPr>
                          <m:ctrlPr>
                            <w:rPr>
                              <w:rFonts w:ascii="Cambria Math" w:hAnsi="Cambria Math"/>
                            </w:rPr>
                          </m:ctrlPr>
                        </m:dPr>
                        <m:e>
                          <m:r>
                            <w:rPr>
                              <w:rFonts w:ascii="Cambria Math" w:hAnsi="Cambria Math"/>
                            </w:rPr>
                            <m:t>j</m:t>
                          </m:r>
                        </m:e>
                      </m:d>
                    </m:sup>
                  </m:sSubSup>
                </m:e>
              </m:nary>
            </m:e>
          </m:nary>
          <m:sSub>
            <m:sSubPr>
              <m:ctrlPr>
                <w:rPr>
                  <w:rFonts w:ascii="Cambria Math" w:hAnsi="Cambria Math"/>
                </w:rPr>
              </m:ctrlPr>
            </m:sSubPr>
            <m:e>
              <m:r>
                <w:rPr>
                  <w:rFonts w:ascii="Cambria Math" w:hAnsi="Cambria Math"/>
                </w:rPr>
                <m:t>ψ</m:t>
              </m:r>
            </m:e>
            <m:sub>
              <m:r>
                <m:rPr>
                  <m:scr m:val="script"/>
                  <m:sty m:val="p"/>
                </m:rPr>
                <w:rPr>
                  <w:rFonts w:ascii="Cambria Math" w:hAnsi="Cambria Math"/>
                </w:rPr>
                <m:t>l</m:t>
              </m:r>
              <m:r>
                <w:rPr>
                  <w:rFonts w:ascii="Cambria Math" w:hAnsi="Cambria Math"/>
                </w:rPr>
                <m:t>m</m:t>
              </m:r>
            </m:sub>
          </m:sSub>
          <m:d>
            <m:dPr>
              <m:ctrlPr>
                <w:rPr>
                  <w:rFonts w:ascii="Cambria Math" w:hAnsi="Cambria Math"/>
                </w:rPr>
              </m:ctrlPr>
            </m:dPr>
            <m:e>
              <m:r>
                <w:rPr>
                  <w:rFonts w:ascii="Cambria Math" w:hAnsi="Cambria Math"/>
                </w:rPr>
                <m:t>t</m:t>
              </m:r>
            </m:e>
          </m:d>
        </m:oMath>
      </m:oMathPara>
    </w:p>
    <w:p w14:paraId="0F568C85" w14:textId="77777777" w:rsidR="000717CB" w:rsidRPr="00EB4A3D" w:rsidRDefault="00000000">
      <w:pPr>
        <w:pStyle w:val="Textoindependiente"/>
        <w:rPr>
          <w:color w:val="000000" w:themeColor="text1"/>
        </w:rPr>
      </w:pPr>
      <w:r>
        <w:t xml:space="preserve">La función </w:t>
      </w:r>
      <m:oMath>
        <m:r>
          <w:rPr>
            <w:rFonts w:ascii="Cambria Math" w:hAnsi="Cambria Math"/>
          </w:rPr>
          <m:t>φ</m:t>
        </m:r>
        <m:d>
          <m:dPr>
            <m:ctrlPr>
              <w:rPr>
                <w:rFonts w:ascii="Cambria Math" w:hAnsi="Cambria Math"/>
              </w:rPr>
            </m:ctrlPr>
          </m:dPr>
          <m:e>
            <m:r>
              <w:rPr>
                <w:rFonts w:ascii="Cambria Math" w:hAnsi="Cambria Math"/>
              </w:rPr>
              <m:t>t</m:t>
            </m:r>
          </m:e>
        </m:d>
      </m:oMath>
      <w:r>
        <w:t xml:space="preserve"> corresponde al componente de escala y </w:t>
      </w:r>
      <m:oMath>
        <m:sSub>
          <m:sSubPr>
            <m:ctrlPr>
              <w:rPr>
                <w:rFonts w:ascii="Cambria Math" w:hAnsi="Cambria Math"/>
              </w:rPr>
            </m:ctrlPr>
          </m:sSubPr>
          <m:e>
            <m:r>
              <w:rPr>
                <w:rFonts w:ascii="Cambria Math" w:hAnsi="Cambria Math"/>
              </w:rPr>
              <m:t>ψ</m:t>
            </m:r>
          </m:e>
          <m:sub>
            <m:r>
              <m:rPr>
                <m:scr m:val="script"/>
                <m:sty m:val="p"/>
              </m:rPr>
              <w:rPr>
                <w:rFonts w:ascii="Cambria Math" w:hAnsi="Cambria Math"/>
              </w:rPr>
              <m:t>l</m:t>
            </m:r>
            <m:r>
              <w:rPr>
                <w:rFonts w:ascii="Cambria Math" w:hAnsi="Cambria Math"/>
              </w:rPr>
              <m:t>m</m:t>
            </m:r>
          </m:sub>
        </m:sSub>
        <m:d>
          <m:dPr>
            <m:ctrlPr>
              <w:rPr>
                <w:rFonts w:ascii="Cambria Math" w:hAnsi="Cambria Math"/>
              </w:rPr>
            </m:ctrlPr>
          </m:dPr>
          <m:e>
            <m:r>
              <w:rPr>
                <w:rFonts w:ascii="Cambria Math" w:hAnsi="Cambria Math"/>
              </w:rPr>
              <m:t>t</m:t>
            </m:r>
          </m:e>
        </m:d>
      </m:oMath>
      <w:r>
        <w:t xml:space="preserve"> a funciones wavelet de diferentes niveles y posiciones. La complejidad se controlará mediante el nivel de descomposición y el número de coeficientes conservados.</w:t>
      </w:r>
    </w:p>
    <w:p w14:paraId="0659848A" w14:textId="77777777" w:rsidR="000717CB" w:rsidRPr="00EB4A3D" w:rsidRDefault="00000000">
      <w:pPr>
        <w:pStyle w:val="Ttulo3"/>
        <w:rPr>
          <w:color w:val="000000" w:themeColor="text1"/>
        </w:rPr>
      </w:pPr>
      <w:r w:rsidRPr="00EB4A3D">
        <w:rPr>
          <w:color w:val="000000" w:themeColor="text1"/>
        </w:rPr>
        <w:lastRenderedPageBreak/>
        <w:t>2.4.4. Variables binarias: función escalonada</w:t>
      </w:r>
    </w:p>
    <w:p w14:paraId="333E5AC8" w14:textId="77777777" w:rsidR="000717CB" w:rsidRPr="00EB4A3D" w:rsidRDefault="00000000">
      <w:pPr>
        <w:pStyle w:val="FirstParagraph"/>
        <w:rPr>
          <w:color w:val="000000" w:themeColor="text1"/>
        </w:rPr>
      </w:pPr>
      <w:r>
        <w:t xml:space="preserve">Los estados de operación 0/1 se representarán como funciones escalonadas, sin interpolaciones que produzcan valores físicos intermedios inexistentes: </w:t>
      </w:r>
      <w:sdt>
        <w:sdtPr>
          <w:rPr>
            <w:color w:val="000000" w:themeColor="text1"/>
          </w:rPr>
          <w:id w:val="-1261143272"/>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p>
    <w:p w14:paraId="7A2D6A6B" w14:textId="77777777" w:rsidR="00861F5E" w:rsidRDefault="00000000">
      <w:pPr>
        <w:pStyle w:val="FirstParagraph"/>
        <w:rPr>
          <w:color w:val="000000" w:themeColor="text1"/>
        </w:rP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0</m:t>
              </m:r>
            </m:sub>
            <m:sup>
              <m:r>
                <w:rPr>
                  <w:rFonts w:ascii="Cambria Math" w:hAnsi="Cambria Math"/>
                </w:rPr>
                <m:t>23</m:t>
              </m:r>
            </m:sup>
            <m:e>
              <m:sSubSup>
                <m:sSubSupPr>
                  <m:ctrlPr>
                    <w:rPr>
                      <w:rFonts w:ascii="Cambria Math" w:hAnsi="Cambria Math"/>
                    </w:rPr>
                  </m:ctrlPr>
                </m:sSubSupPr>
                <m:e>
                  <m:r>
                    <w:rPr>
                      <w:rFonts w:ascii="Cambria Math" w:hAnsi="Cambria Math"/>
                    </w:rPr>
                    <m:t>s</m:t>
                  </m:r>
                </m:e>
                <m:sub>
                  <m:r>
                    <w:rPr>
                      <w:rFonts w:ascii="Cambria Math" w:hAnsi="Cambria Math"/>
                    </w:rPr>
                    <m:t>ih</m:t>
                  </m:r>
                </m:sub>
                <m:sup>
                  <m:d>
                    <m:dPr>
                      <m:ctrlPr>
                        <w:rPr>
                          <w:rFonts w:ascii="Cambria Math" w:hAnsi="Cambria Math"/>
                        </w:rPr>
                      </m:ctrlPr>
                    </m:dPr>
                    <m:e>
                      <m:r>
                        <w:rPr>
                          <w:rFonts w:ascii="Cambria Math" w:hAnsi="Cambria Math"/>
                        </w:rPr>
                        <m:t>j</m:t>
                      </m:r>
                    </m:e>
                  </m:d>
                </m:sup>
              </m:sSubSup>
            </m:e>
          </m:nary>
          <m:sSub>
            <m:sSubPr>
              <m:ctrlPr>
                <w:rPr>
                  <w:rFonts w:ascii="Cambria Math" w:hAnsi="Cambria Math"/>
                </w:rPr>
              </m:ctrlPr>
            </m:sSubPr>
            <m:e>
              <m:r>
                <w:rPr>
                  <w:rFonts w:ascii="Cambria Math" w:hAnsi="Cambria Math"/>
                </w:rPr>
                <m:t>I</m:t>
              </m:r>
            </m:e>
            <m:sub>
              <m:r>
                <w:rPr>
                  <w:rFonts w:ascii="Cambria Math" w:hAnsi="Cambria Math"/>
                </w:rPr>
                <m:t>h</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B587AD1" w14:textId="77777777" w:rsidR="000717CB" w:rsidRPr="00EB4A3D" w:rsidRDefault="00000000">
      <w:pPr>
        <w:pStyle w:val="Textoindependiente"/>
        <w:rPr>
          <w:color w:val="000000" w:themeColor="text1"/>
        </w:rPr>
      </w:pPr>
      <w:r>
        <w:t xml:space="preserve">La función indicadora </w:t>
      </w:r>
      <m:oMath>
        <m:sSub>
          <m:sSubPr>
            <m:ctrlPr>
              <w:rPr>
                <w:rFonts w:ascii="Cambria Math" w:hAnsi="Cambria Math"/>
              </w:rPr>
            </m:ctrlPr>
          </m:sSubPr>
          <m:e>
            <m:r>
              <w:rPr>
                <w:rFonts w:ascii="Cambria Math" w:hAnsi="Cambria Math"/>
              </w:rPr>
              <m:t>I</m:t>
            </m:r>
          </m:e>
          <m:sub>
            <m:r>
              <w:rPr>
                <w:rFonts w:ascii="Cambria Math" w:hAnsi="Cambria Math"/>
              </w:rPr>
              <m:t>h</m:t>
            </m:r>
          </m:sub>
        </m:sSub>
        <m:d>
          <m:dPr>
            <m:ctrlPr>
              <w:rPr>
                <w:rFonts w:ascii="Cambria Math" w:hAnsi="Cambria Math"/>
              </w:rPr>
            </m:ctrlPr>
          </m:dPr>
          <m:e>
            <m:r>
              <w:rPr>
                <w:rFonts w:ascii="Cambria Math" w:hAnsi="Cambria Math"/>
              </w:rPr>
              <m:t>t</m:t>
            </m:r>
          </m:e>
        </m:d>
      </m:oMath>
      <w:r>
        <w:t xml:space="preserve"> vale 1 durante la hora </w:t>
      </w:r>
      <m:oMath>
        <m:r>
          <w:rPr>
            <w:rFonts w:ascii="Cambria Math" w:hAnsi="Cambria Math"/>
          </w:rPr>
          <m:t>h</m:t>
        </m:r>
      </m:oMath>
      <w:r>
        <w:t xml:space="preserve"> y 0 fuera de ella; así se preserva el estado del actuador en cada intervalo.</w:t>
      </w:r>
    </w:p>
    <w:p w14:paraId="4C6C65CA" w14:textId="77777777" w:rsidR="000717CB" w:rsidRPr="00EB4A3D" w:rsidRDefault="00000000">
      <w:pPr>
        <w:pStyle w:val="Ttulo3"/>
        <w:rPr>
          <w:color w:val="000000" w:themeColor="text1"/>
        </w:rPr>
      </w:pPr>
      <w:r w:rsidRPr="00EB4A3D">
        <w:rPr>
          <w:color w:val="000000" w:themeColor="text1"/>
        </w:rPr>
        <w:t>2.4.5. Variables constantes: base constante</w:t>
      </w:r>
    </w:p>
    <w:p w14:paraId="7589C342" w14:textId="77777777" w:rsidR="000717CB" w:rsidRPr="00EB4A3D" w:rsidRDefault="00000000">
      <w:pPr>
        <w:pStyle w:val="FirstParagraph"/>
        <w:rPr>
          <w:color w:val="000000" w:themeColor="text1"/>
        </w:rPr>
      </w:pPr>
      <w:r>
        <w:t xml:space="preserve">Las señales constantes en la referencia se representarán mediante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1</m:t>
        </m:r>
      </m:oMath>
      <w:r>
        <w:t xml:space="preserve"> y una base constante </w:t>
      </w:r>
      <m:oMath>
        <m:sSub>
          <m:sSubPr>
            <m:ctrlPr>
              <w:rPr>
                <w:rFonts w:ascii="Cambria Math" w:hAnsi="Cambria Math"/>
              </w:rPr>
            </m:ctrlPr>
          </m:sSubPr>
          <m:e>
            <m:r>
              <w:rPr>
                <w:rFonts w:ascii="Cambria Math" w:hAnsi="Cambria Math"/>
              </w:rPr>
              <m:t>φ</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oMath>
      <w:r>
        <w:t xml:space="preserve">: </w:t>
      </w:r>
      <w:sdt>
        <w:sdtPr>
          <w:rPr>
            <w:color w:val="000000" w:themeColor="text1"/>
          </w:rPr>
          <w:id w:val="-640190143"/>
          <w:citation/>
        </w:sdtPr>
        <w:sdtContent>
          <w:r w:rsidR="00EB4A3D">
            <w:rPr>
              <w:color w:val="000000" w:themeColor="text1"/>
            </w:rPr>
            <w:fldChar w:fldCharType="begin"/>
          </w:r>
          <w:r w:rsidR="00EB4A3D">
            <w:rPr>
              <w:color w:val="000000" w:themeColor="text1"/>
              <w:lang w:val="es-MX"/>
            </w:rPr>
            <w:instrText xml:space="preserve"> CITATION RamsaySilverman2005 \l 2058 </w:instrText>
          </w:r>
          <w:r w:rsidR="00EB4A3D">
            <w:rPr>
              <w:color w:val="000000" w:themeColor="text1"/>
            </w:rPr>
            <w:fldChar w:fldCharType="separate"/>
          </w:r>
          <w:r w:rsidR="004D0E2C" w:rsidRPr="004D0E2C">
            <w:rPr>
              <w:noProof/>
              <w:color w:val="000000" w:themeColor="text1"/>
              <w:lang w:val="es-MX"/>
            </w:rPr>
            <w:t>(Ramsay &amp; Silverman, 2005)</w:t>
          </w:r>
          <w:r w:rsidR="00EB4A3D">
            <w:rPr>
              <w:color w:val="000000" w:themeColor="text1"/>
            </w:rPr>
            <w:fldChar w:fldCharType="end"/>
          </w:r>
        </w:sdtContent>
      </w:sdt>
    </w:p>
    <w:p w14:paraId="4114A2C1" w14:textId="77777777" w:rsidR="00861F5E" w:rsidRDefault="00000000">
      <w:pPr>
        <w:pStyle w:val="FirstParagraph"/>
        <w:rPr>
          <w:color w:val="000000" w:themeColor="text1"/>
        </w:rP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j</m:t>
                  </m:r>
                </m:e>
              </m:d>
            </m:sup>
          </m:sSubSup>
          <m:sSub>
            <m:sSubPr>
              <m:ctrlPr>
                <w:rPr>
                  <w:rFonts w:ascii="Cambria Math" w:hAnsi="Cambria Math"/>
                </w:rPr>
              </m:ctrlPr>
            </m:sSubPr>
            <m:e>
              <m:r>
                <w:rPr>
                  <w:rFonts w:ascii="Cambria Math" w:hAnsi="Cambria Math"/>
                </w:rPr>
                <m:t>ϕ</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1</m:t>
          </m:r>
        </m:oMath>
      </m:oMathPara>
    </w:p>
    <w:p w14:paraId="4FB48F9E" w14:textId="77777777" w:rsidR="000717CB" w:rsidRPr="00EB4A3D" w:rsidRDefault="00000000">
      <w:pPr>
        <w:pStyle w:val="Textoindependiente"/>
        <w:rPr>
          <w:color w:val="000000" w:themeColor="text1"/>
        </w:rPr>
      </w:pPr>
      <w:r>
        <w:t>Una componente con varianza funcional integrada nula no puede utilizar el peso inverso de la varianza. Se conservará como señal sentinela independiente de la MFPCA y se comprobarán eventuales desviaciones respecto a su valor de referencia.</w:t>
      </w:r>
    </w:p>
    <w:p w14:paraId="5CF68181" w14:textId="77777777" w:rsidR="000717CB" w:rsidRPr="00EB4A3D" w:rsidRDefault="00000000">
      <w:pPr>
        <w:pStyle w:val="Ttulo2"/>
        <w:rPr>
          <w:color w:val="000000" w:themeColor="text1"/>
        </w:rPr>
      </w:pPr>
      <w:r w:rsidRPr="00EB4A3D">
        <w:rPr>
          <w:color w:val="000000" w:themeColor="text1"/>
        </w:rPr>
        <w:t>2.5. Selección objetiva de la representación funcional y sus parámetros</w:t>
      </w:r>
    </w:p>
    <w:p w14:paraId="77D31B49" w14:textId="77777777" w:rsidR="000717CB" w:rsidRPr="00EB4A3D" w:rsidRDefault="00000000">
      <w:pPr>
        <w:pStyle w:val="FirstParagraph"/>
        <w:rPr>
          <w:color w:val="000000" w:themeColor="text1"/>
        </w:rPr>
      </w:pPr>
      <w:r>
        <w:t xml:space="preserve">La selección se realizará exclusivamente con dataset03 y una estrategia interna de validación temporal. Para B-splines se evaluarán </w:t>
      </w:r>
      <m:oMath>
        <m:r>
          <w:rPr>
            <w:rFonts w:ascii="Cambria Math" w:hAnsi="Cambria Math"/>
          </w:rPr>
          <m:t>K</m:t>
        </m:r>
      </m:oMath>
      <w:r>
        <w:t xml:space="preserve"> y </w:t>
      </w:r>
      <m:oMath>
        <m:r>
          <w:rPr>
            <w:rFonts w:ascii="Cambria Math" w:hAnsi="Cambria Math"/>
          </w:rPr>
          <m:t>λ</m:t>
        </m:r>
      </m:oMath>
      <w:r>
        <w:t xml:space="preserve">; para Fourier, </w:t>
      </w:r>
      <m:oMath>
        <m:r>
          <w:rPr>
            <w:rFonts w:ascii="Cambria Math" w:hAnsi="Cambria Math"/>
          </w:rPr>
          <m:t>H</m:t>
        </m:r>
      </m:oMath>
      <w:r>
        <w:t>; y para wavelets, niveles y coeficientes retenidos. El criterio GCV se empleará donde corresponda una matriz suavizadora lineal; para comparar familias se utilizarán también errores de reconstrucción en validación y parsimonia, evitando escoger la base solo por el ajuste dentro de muestra.</w:t>
      </w:r>
    </w:p>
    <w:p w14:paraId="78CAAF29" w14:textId="77777777" w:rsidR="000717CB" w:rsidRPr="00EB4A3D" w:rsidRDefault="00000000">
      <w:pPr>
        <w:pStyle w:val="Textoindependiente"/>
        <w:rPr>
          <w:color w:val="000000" w:themeColor="text1"/>
        </w:rPr>
      </w:pPr>
      <w:r w:rsidRPr="00EB4A3D">
        <w:rPr>
          <w:color w:val="000000" w:themeColor="text1"/>
        </w:rPr>
        <w:t>Para las B-</w:t>
      </w:r>
      <w:proofErr w:type="spellStart"/>
      <w:r w:rsidRPr="00EB4A3D">
        <w:rPr>
          <w:color w:val="000000" w:themeColor="text1"/>
        </w:rPr>
        <w:t>splines</w:t>
      </w:r>
      <w:proofErr w:type="spellEnd"/>
      <w:r w:rsidRPr="00EB4A3D">
        <w:rPr>
          <w:color w:val="000000" w:themeColor="text1"/>
        </w:rPr>
        <w:t xml:space="preserve"> penalizadas, y para otras representaciones lineales en las que corresponda, se utilizará la siguiente matriz suavizadora:</w:t>
      </w:r>
    </w:p>
    <w:p w14:paraId="12AEAA9D"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λ</m:t>
              </m:r>
            </m:sub>
          </m:sSub>
          <m:r>
            <m:rPr>
              <m:sty m:val="p"/>
            </m:rPr>
            <w:rPr>
              <w:rFonts w:ascii="Cambria Math" w:hAnsi="Cambria Math"/>
            </w:rPr>
            <m:t>=</m:t>
          </m:r>
          <m:r>
            <m:rPr>
              <m:sty m:val="b"/>
            </m:rPr>
            <w:rPr>
              <w:rFonts w:ascii="Cambria Math" w:hAnsi="Cambria Math"/>
            </w:rPr>
            <m:t>B</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r>
                    <m:rPr>
                      <m:sty m:val="b"/>
                    </m:rPr>
                    <w:rPr>
                      <w:rFonts w:ascii="Cambria Math" w:hAnsi="Cambria Math"/>
                    </w:rPr>
                    <m:t>B</m:t>
                  </m:r>
                  <m:r>
                    <m:rPr>
                      <m:sty m:val="p"/>
                    </m:rPr>
                    <w:rPr>
                      <w:rFonts w:ascii="Cambria Math" w:hAnsi="Cambria Math"/>
                    </w:rPr>
                    <m:t>+</m:t>
                  </m:r>
                  <m:r>
                    <w:rPr>
                      <w:rFonts w:ascii="Cambria Math" w:hAnsi="Cambria Math"/>
                    </w:rPr>
                    <m:t>λ</m:t>
                  </m:r>
                  <m:r>
                    <m:rPr>
                      <m:sty m:val="b"/>
                    </m:rPr>
                    <w:rPr>
                      <w:rFonts w:ascii="Cambria Math" w:hAnsi="Cambria Math"/>
                    </w:rPr>
                    <m:t>R</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m:rPr>
                  <m:sty m:val="b"/>
                </m:rPr>
                <w:rPr>
                  <w:rFonts w:ascii="Cambria Math" w:hAnsi="Cambria Math"/>
                </w:rPr>
                <m:t>B</m:t>
              </m:r>
            </m:e>
            <m:sup>
              <m:r>
                <m:rPr>
                  <m:sty m:val="p"/>
                </m:rPr>
                <w:rPr>
                  <w:rFonts w:ascii="Cambria Math" w:hAnsi="Cambria Math"/>
                </w:rPr>
                <m:t>⊤</m:t>
              </m:r>
            </m:sup>
          </m:sSup>
        </m:oMath>
      </m:oMathPara>
    </w:p>
    <w:p w14:paraId="51D4001B" w14:textId="77777777" w:rsidR="000717CB" w:rsidRPr="00EB4A3D" w:rsidRDefault="00000000">
      <w:pPr>
        <w:pStyle w:val="FirstParagraph"/>
        <w:rPr>
          <w:color w:val="000000" w:themeColor="text1"/>
        </w:rPr>
      </w:pPr>
      <w:r w:rsidRPr="00EB4A3D">
        <w:rPr>
          <w:color w:val="000000" w:themeColor="text1"/>
        </w:rPr>
        <w:t>y los grados de libertad efectivos se definirán como:</w:t>
      </w:r>
    </w:p>
    <w:p w14:paraId="4D14F90E"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m:rPr>
                  <m:sty m:val="p"/>
                </m:rPr>
                <w:rPr>
                  <w:rFonts w:ascii="Cambria Math" w:hAnsi="Cambria Math"/>
                </w:rPr>
                <m:t>df</m:t>
              </m:r>
            </m:e>
            <m:sub>
              <m:r>
                <w:rPr>
                  <w:rFonts w:ascii="Cambria Math" w:hAnsi="Cambria Math"/>
                </w:rPr>
                <m:t>λ</m:t>
              </m:r>
            </m:sub>
          </m:sSub>
          <m:r>
            <m:rPr>
              <m:sty m:val="p"/>
            </m:rPr>
            <w:rPr>
              <w:rFonts w:ascii="Cambria Math" w:hAnsi="Cambria Math"/>
            </w:rPr>
            <m:t>=tr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λ</m:t>
                  </m:r>
                </m:sub>
              </m:sSub>
            </m:e>
          </m:d>
        </m:oMath>
      </m:oMathPara>
    </w:p>
    <w:p w14:paraId="38A3617B" w14:textId="77777777" w:rsidR="000717CB" w:rsidRPr="00EB4A3D" w:rsidRDefault="00000000">
      <w:pPr>
        <w:pStyle w:val="FirstParagraph"/>
        <w:rPr>
          <w:color w:val="000000" w:themeColor="text1"/>
        </w:rPr>
      </w:pPr>
      <w:r w:rsidRPr="00EB4A3D">
        <w:rPr>
          <w:color w:val="000000" w:themeColor="text1"/>
        </w:rPr>
        <w:t>A partir de estos elementos, el GCV diario se definirá como:</w:t>
      </w:r>
    </w:p>
    <w:p w14:paraId="6EDF8BE4"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m:rPr>
                  <m:sty m:val="p"/>
                </m:rPr>
                <w:rPr>
                  <w:rFonts w:ascii="Cambria Math" w:hAnsi="Cambria Math"/>
                </w:rPr>
                <m:t>GCV</m:t>
              </m:r>
            </m:e>
            <m:sub>
              <m:r>
                <w:rPr>
                  <w:rFonts w:ascii="Cambria Math" w:hAnsi="Cambria Math"/>
                </w:rPr>
                <m:t>ij</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λ</m:t>
              </m:r>
            </m:e>
          </m:d>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b"/>
                    </m:rP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j</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24</m:t>
              </m:r>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df</m:t>
                          </m:r>
                        </m:e>
                        <m:sub>
                          <m:r>
                            <w:rPr>
                              <w:rFonts w:ascii="Cambria Math" w:hAnsi="Cambria Math"/>
                            </w:rPr>
                            <m:t>λ</m:t>
                          </m:r>
                        </m:sub>
                      </m:sSub>
                      <m:r>
                        <m:rPr>
                          <m:sty m:val="p"/>
                        </m:rPr>
                        <w:rPr>
                          <w:rFonts w:ascii="Cambria Math" w:hAnsi="Cambria Math"/>
                        </w:rPr>
                        <m:t>/</m:t>
                      </m:r>
                      <m:r>
                        <w:rPr>
                          <w:rFonts w:ascii="Cambria Math" w:hAnsi="Cambria Math"/>
                        </w:rPr>
                        <m:t>24</m:t>
                      </m:r>
                    </m:e>
                  </m:d>
                </m:e>
                <m:sup>
                  <m:r>
                    <w:rPr>
                      <w:rFonts w:ascii="Cambria Math" w:hAnsi="Cambria Math"/>
                    </w:rPr>
                    <m:t>2</m:t>
                  </m:r>
                </m:sup>
              </m:sSup>
            </m:den>
          </m:f>
        </m:oMath>
      </m:oMathPara>
    </w:p>
    <w:p w14:paraId="11068C5D" w14:textId="77777777" w:rsidR="000717CB" w:rsidRPr="00EB4A3D" w:rsidRDefault="00000000">
      <w:pPr>
        <w:pStyle w:val="FirstParagraph"/>
        <w:rPr>
          <w:color w:val="000000" w:themeColor="text1"/>
        </w:rPr>
      </w:pPr>
      <w:r>
        <w:rPr>
          <w:color w:val="000000" w:themeColor="text1"/>
        </w:rPr>
        <w:t xml:space="preserve">Para una variable </w:t>
      </w:r>
      <m:oMath>
        <m:r>
          <w:rPr>
            <w:rFonts w:ascii="Cambria Math" w:hAnsi="Cambria Math"/>
          </w:rPr>
          <m:t>j</m:t>
        </m:r>
      </m:oMath>
      <w:r>
        <w:rPr>
          <w:color w:val="000000" w:themeColor="text1"/>
        </w:rPr>
        <w:t>, se utilizará el promedio sobre los días de referencia:</w:t>
      </w:r>
    </w:p>
    <w:p w14:paraId="434379DE"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GCV</m:t>
                  </m:r>
                </m:e>
              </m:bar>
            </m:e>
            <m:sub>
              <m:r>
                <w:rPr>
                  <w:rFonts w:ascii="Cambria Math" w:hAnsi="Cambria Math"/>
                </w:rPr>
                <m:t>j</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λ</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p"/>
                    </m:rPr>
                    <w:rPr>
                      <w:rFonts w:ascii="Cambria Math" w:hAnsi="Cambria Math"/>
                    </w:rPr>
                    <m:t>GCV</m:t>
                  </m:r>
                </m:e>
                <m:sub>
                  <m:r>
                    <w:rPr>
                      <w:rFonts w:ascii="Cambria Math" w:hAnsi="Cambria Math"/>
                    </w:rPr>
                    <m:t>ij</m:t>
                  </m:r>
                </m:sub>
              </m:sSub>
            </m:e>
          </m:nary>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λ</m:t>
              </m:r>
            </m:e>
          </m:d>
        </m:oMath>
      </m:oMathPara>
    </w:p>
    <w:p w14:paraId="0EA70854" w14:textId="77777777" w:rsidR="000717CB" w:rsidRPr="00EB4A3D" w:rsidRDefault="00000000">
      <w:pPr>
        <w:pStyle w:val="FirstParagraph"/>
        <w:rPr>
          <w:color w:val="000000" w:themeColor="text1"/>
        </w:rPr>
      </w:pPr>
      <w:r>
        <w:t xml:space="preserve">Como regla de parsimonia para configuraciones comparables de GCV se utilizará el criterio de un error estándar (1-SE): entre las alternativas cuyo GCV medio no supere el mínimo más </w:t>
      </w:r>
      <m:oMath>
        <m:r>
          <w:rPr>
            <w:rFonts w:ascii="Cambria Math" w:hAnsi="Cambria Math"/>
          </w:rPr>
          <m:t>S</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se preferirá la de menor complejidad efectiva.</w:t>
      </w:r>
    </w:p>
    <w:p w14:paraId="38F7275A" w14:textId="77777777" w:rsidR="00A96298" w:rsidRDefault="00000000">
      <w:r>
        <w:t xml:space="preserve">El error estándar </w:t>
      </w:r>
      <m:oMath>
        <m:r>
          <w:rPr>
            <w:rFonts w:ascii="Cambria Math" w:hAnsi="Cambria Math"/>
          </w:rPr>
          <m:t>S</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se estimará a partir de los valores diarios de GCV correspondientes a la configuración de menor GCV medio, identificada mediante </w:t>
      </w:r>
      <m:oMath>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e>
        </m:d>
      </m:oMath>
      <w:r>
        <w:t>:</w:t>
      </w:r>
    </w:p>
    <w:p w14:paraId="7CAD814E" w14:textId="77777777" w:rsidR="00861F5E"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SE</m:t>
              </m:r>
            </m:e>
            <m:sub>
              <m:r>
                <m:rPr>
                  <m:sty m:val="p"/>
                </m:rPr>
                <w:rPr>
                  <w:rFonts w:ascii="Cambria Math" w:hAnsi="Cambria Math"/>
                </w:rPr>
                <m:t>min</m:t>
              </m:r>
            </m:sub>
          </m:sSub>
          <m:r>
            <m:rPr>
              <m:sty m:val="p"/>
            </m:rPr>
            <w:rPr>
              <w:rFonts w:ascii="Cambria Math" w:hAnsi="Cambria Math"/>
            </w:rPr>
            <m:t>=</m:t>
          </m:r>
          <m:f>
            <m:fPr>
              <m:ctrlPr>
                <w:rPr>
                  <w:rFonts w:ascii="Cambria Math" w:hAnsi="Cambria Math"/>
                </w:rPr>
              </m:ctrlPr>
            </m:fPr>
            <m:num>
              <m:r>
                <m:rPr>
                  <m:sty m:val="p"/>
                </m:rPr>
                <w:rPr>
                  <w:rFonts w:ascii="Cambria Math" w:hAnsi="Cambria Math"/>
                </w:rPr>
                <m:t>SD</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GCV</m:t>
                      </m:r>
                    </m:e>
                    <m:sub>
                      <m:r>
                        <w:rPr>
                          <w:rFonts w:ascii="Cambria Math" w:hAnsi="Cambria Math"/>
                        </w:rPr>
                        <m:t>ij</m:t>
                      </m:r>
                    </m:sub>
                    <m:sup>
                      <m:r>
                        <m:rPr>
                          <m:sty m:val="p"/>
                        </m:rPr>
                        <w:rPr>
                          <w:rFonts w:ascii="Cambria Math" w:hAnsi="Cambria Math"/>
                        </w:rPr>
                        <m:t>min</m:t>
                      </m:r>
                    </m:sup>
                  </m:sSubSup>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num>
            <m:den>
              <m:rad>
                <m:radPr>
                  <m:degHide m:val="1"/>
                  <m:ctrlPr>
                    <w:rPr>
                      <w:rFonts w:ascii="Cambria Math" w:hAnsi="Cambria Math"/>
                    </w:rPr>
                  </m:ctrlPr>
                </m:radPr>
                <m:deg/>
                <m:e>
                  <m:r>
                    <w:rPr>
                      <w:rFonts w:ascii="Cambria Math" w:hAnsi="Cambria Math"/>
                    </w:rPr>
                    <m:t>n</m:t>
                  </m:r>
                </m:e>
              </m:rad>
            </m:den>
          </m:f>
        </m:oMath>
      </m:oMathPara>
    </w:p>
    <w:p w14:paraId="274696D5"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GCV</m:t>
                  </m:r>
                </m:e>
              </m:bar>
            </m:e>
            <m:sub>
              <m:r>
                <w:rPr>
                  <w:rFonts w:ascii="Cambria Math" w:hAnsi="Cambria Math"/>
                </w:rPr>
                <m:t>j</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GCV</m:t>
                  </m:r>
                </m:e>
              </m:bar>
            </m:e>
            <m:sub>
              <m:r>
                <w:rPr>
                  <w:rFonts w:ascii="Cambria Math" w:hAnsi="Cambria Math"/>
                </w:rPr>
                <m:t>j</m:t>
              </m:r>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SE</m:t>
              </m:r>
            </m:e>
            <m:sub>
              <m:r>
                <m:rPr>
                  <m:sty m:val="p"/>
                </m:rPr>
                <w:rPr>
                  <w:rFonts w:ascii="Cambria Math" w:hAnsi="Cambria Math"/>
                </w:rPr>
                <m:t>min</m:t>
              </m:r>
            </m:sub>
          </m:sSub>
        </m:oMath>
      </m:oMathPara>
    </w:p>
    <w:p w14:paraId="5A1528D8" w14:textId="77777777" w:rsidR="000717CB" w:rsidRPr="00EB4A3D" w:rsidRDefault="00000000">
      <w:pPr>
        <w:pStyle w:val="FirstParagraph"/>
        <w:rPr>
          <w:color w:val="000000" w:themeColor="text1"/>
        </w:rPr>
      </w:pPr>
      <w:r>
        <w:t>Dado que las trayectorias de días consecutivos pueden estar correlacionadas, la estabilidad del criterio se verificará con bloques temporales. La regla 1-SE es una propuesta de selección y no una garantía de desempeño fuera de muestra.</w:t>
      </w:r>
    </w:p>
    <w:p w14:paraId="78CCBA89" w14:textId="77777777" w:rsidR="000717CB" w:rsidRPr="00EB4A3D" w:rsidRDefault="00000000">
      <w:pPr>
        <w:pStyle w:val="Ttulo2"/>
        <w:rPr>
          <w:color w:val="000000" w:themeColor="text1"/>
        </w:rPr>
      </w:pPr>
      <w:bookmarkStart w:id="3" w:name="métricas-de-reconstrucción"/>
      <w:r w:rsidRPr="00EB4A3D">
        <w:rPr>
          <w:color w:val="000000" w:themeColor="text1"/>
        </w:rPr>
        <w:t>2.6. Métricas de reconstrucción</w:t>
      </w:r>
    </w:p>
    <w:p w14:paraId="611D1254" w14:textId="77777777" w:rsidR="000717CB" w:rsidRPr="00EB4A3D" w:rsidRDefault="00000000">
      <w:pPr>
        <w:pStyle w:val="FirstParagraph"/>
        <w:rPr>
          <w:color w:val="000000" w:themeColor="text1"/>
        </w:rPr>
      </w:pPr>
      <w:r>
        <w:t xml:space="preserve">La fidelidad de las representaciones se resumirá mediante RMSE, NRMSE y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de reconstrucción en el periodo de referencia:</w:t>
      </w:r>
    </w:p>
    <w:p w14:paraId="33550465"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m:rPr>
                  <m:sty m:val="p"/>
                </m:rPr>
                <w:rPr>
                  <w:rFonts w:ascii="Cambria Math" w:hAnsi="Cambria Math"/>
                </w:rPr>
                <m:t>RMSE</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24n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0</m:t>
                      </m:r>
                    </m:sub>
                    <m:sup>
                      <m:r>
                        <w:rPr>
                          <w:rFonts w:ascii="Cambria Math" w:hAnsi="Cambria Math"/>
                        </w:rPr>
                        <m:t>23</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ih</m:t>
                                  </m:r>
                                </m:sub>
                                <m:sup>
                                  <m:d>
                                    <m:dPr>
                                      <m:ctrlPr>
                                        <w:rPr>
                                          <w:rFonts w:ascii="Cambria Math" w:hAnsi="Cambria Math"/>
                                        </w:rPr>
                                      </m:ctrlPr>
                                    </m:dPr>
                                    <m:e>
                                      <m:r>
                                        <w:rPr>
                                          <w:rFonts w:ascii="Cambria Math" w:hAnsi="Cambria Math"/>
                                        </w:rPr>
                                        <m:t>j</m:t>
                                      </m:r>
                                    </m:e>
                                  </m:d>
                                </m:sup>
                              </m:sSubSup>
                            </m:e>
                          </m:d>
                        </m:e>
                        <m:sup>
                          <m:r>
                            <w:rPr>
                              <w:rFonts w:ascii="Cambria Math" w:hAnsi="Cambria Math"/>
                            </w:rPr>
                            <m:t>2</m:t>
                          </m:r>
                        </m:sup>
                      </m:sSup>
                    </m:e>
                  </m:nary>
                </m:e>
              </m:nary>
            </m:e>
          </m:rad>
        </m:oMath>
      </m:oMathPara>
    </w:p>
    <w:p w14:paraId="5F967566" w14:textId="77777777" w:rsidR="00861F5E" w:rsidRDefault="00000000">
      <w:pPr>
        <w:pStyle w:val="FirstParagraph"/>
        <w:rPr>
          <w:color w:val="000000" w:themeColor="text1"/>
        </w:rPr>
      </w:pPr>
      <m:oMathPara>
        <m:oMathParaPr>
          <m:jc m:val="center"/>
        </m:oMathParaPr>
        <m:oMath>
          <m:sSub>
            <m:sSubPr>
              <m:ctrlPr>
                <w:rPr>
                  <w:rFonts w:ascii="Cambria Math" w:hAnsi="Cambria Math"/>
                </w:rPr>
              </m:ctrlPr>
            </m:sSubPr>
            <m:e>
              <m:r>
                <m:rPr>
                  <m:sty m:val="p"/>
                </m:rPr>
                <w:rPr>
                  <w:rFonts w:ascii="Cambria Math" w:hAnsi="Cambria Math"/>
                </w:rPr>
                <m:t>NRMSE</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RMSE</m:t>
                  </m:r>
                </m:e>
                <m:sub>
                  <m:r>
                    <w:rPr>
                      <w:rFonts w:ascii="Cambria Math" w:hAnsi="Cambria Math"/>
                    </w:rPr>
                    <m:t>j</m:t>
                  </m:r>
                </m:sub>
              </m:sSub>
            </m:num>
            <m:den>
              <m:r>
                <m:rPr>
                  <m:sty m:val="p"/>
                </m:rPr>
                <w:rPr>
                  <w:rFonts w:ascii="Cambria Math" w:hAnsi="Cambria Math"/>
                </w:rPr>
                <m:t>SD</m:t>
              </m:r>
              <m:d>
                <m:dPr>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j</m:t>
                          </m:r>
                        </m:e>
                      </m:d>
                    </m:sup>
                  </m:sSup>
                </m:e>
              </m:d>
            </m:den>
          </m:f>
        </m:oMath>
      </m:oMathPara>
    </w:p>
    <w:p w14:paraId="2A22BAAC" w14:textId="77777777" w:rsidR="000717CB" w:rsidRPr="00EB4A3D" w:rsidRDefault="00000000">
      <w:pPr>
        <w:pStyle w:val="FirstParagraph"/>
        <w:rPr>
          <w:color w:val="000000" w:themeColor="text1"/>
        </w:rPr>
      </w:pPr>
      <w:r>
        <w:t>Como medida de reconstrucción relativa se utilizará:</w:t>
      </w:r>
    </w:p>
    <w:p w14:paraId="1160328D" w14:textId="77777777" w:rsidR="00861F5E" w:rsidRDefault="00000000">
      <w:pPr>
        <w:pStyle w:val="Textoindependiente"/>
        <w:rPr>
          <w:color w:val="000000" w:themeColor="text1"/>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h</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ih</m:t>
                              </m:r>
                            </m:sub>
                            <m:sup>
                              <m:d>
                                <m:dPr>
                                  <m:ctrlPr>
                                    <w:rPr>
                                      <w:rFonts w:ascii="Cambria Math" w:hAnsi="Cambria Math"/>
                                    </w:rPr>
                                  </m:ctrlPr>
                                </m:dPr>
                                <m:e>
                                  <m:r>
                                    <w:rPr>
                                      <w:rFonts w:ascii="Cambria Math" w:hAnsi="Cambria Math"/>
                                    </w:rPr>
                                    <m:t>j</m:t>
                                  </m:r>
                                </m:e>
                              </m:d>
                            </m:sup>
                          </m:sSubSup>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h</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ih</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j</m:t>
                                  </m:r>
                                </m:e>
                              </m:d>
                            </m:sup>
                          </m:sSup>
                        </m:e>
                      </m:d>
                    </m:e>
                    <m:sup>
                      <m:r>
                        <w:rPr>
                          <w:rFonts w:ascii="Cambria Math" w:hAnsi="Cambria Math"/>
                        </w:rPr>
                        <m:t>2</m:t>
                      </m:r>
                    </m:sup>
                  </m:sSup>
                </m:e>
              </m:nary>
            </m:den>
          </m:f>
        </m:oMath>
      </m:oMathPara>
    </w:p>
    <w:p w14:paraId="32800B70" w14:textId="77777777" w:rsidR="000717CB" w:rsidRPr="00EB4A3D" w:rsidRDefault="00000000">
      <w:pPr>
        <w:pStyle w:val="FirstParagraph"/>
        <w:rPr>
          <w:color w:val="000000" w:themeColor="text1"/>
        </w:rPr>
      </w:pPr>
      <w:r>
        <w:t>Se analizará además la distribución de errores diarios, la selección en los bordes de la grilla y la sensibilidad al número de funciones base. Las distintas familias se compararán bajo el mismo esquema de validación interna.</w:t>
      </w:r>
    </w:p>
    <w:bookmarkEnd w:id="3"/>
    <w:p w14:paraId="754394B6" w14:textId="77777777" w:rsidR="00861F5E" w:rsidRDefault="00000000">
      <w:pPr>
        <w:pStyle w:val="Ttulo2"/>
      </w:pPr>
      <w:r>
        <w:t>2.7. Organización física y topológica de las señales</w:t>
      </w:r>
    </w:p>
    <w:p w14:paraId="3CACFFD4" w14:textId="77777777" w:rsidR="00861F5E" w:rsidRDefault="00000000">
      <w:pPr>
        <w:pStyle w:val="FirstParagraph"/>
      </w:pPr>
      <w:r>
        <w:t xml:space="preserve">El diccionario de BATADAL y el archivo hidráulico CTOWN.INP permitirán establecer grupos predefinidos de señales asociadas a tanques, bombas, válvulas o zonas con instrumentación. Una señal no equivale necesariamente a un nodo: solo se asignará </w:t>
      </w:r>
      <w:r>
        <w:lastRenderedPageBreak/>
        <w:t>una localización cuando la relación física esté documentada, y se dejarán explícitos los grupos sin observabilidad suficiente.</w:t>
      </w:r>
    </w:p>
    <w:p w14:paraId="53DF4FA4" w14:textId="77777777" w:rsidR="00861F5E" w:rsidRDefault="00000000">
      <w:pPr>
        <w:pStyle w:val="Textoindependiente"/>
      </w:pPr>
      <w:r>
        <w:t xml:space="preserve">Para un componente o zona </w:t>
      </w:r>
      <m:oMath>
        <m:r>
          <w:rPr>
            <w:rFonts w:ascii="Cambria Math" w:hAnsi="Cambria Math"/>
          </w:rPr>
          <m:t>g</m:t>
        </m:r>
      </m:oMath>
      <w:r>
        <w:t xml:space="preserve"> con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señales funcionales, el día </w:t>
      </w:r>
      <m:oMath>
        <m:r>
          <w:rPr>
            <w:rFonts w:ascii="Cambria Math" w:hAnsi="Cambria Math"/>
          </w:rPr>
          <m:t>i</m:t>
        </m:r>
      </m:oMath>
      <w:r>
        <w:t xml:space="preserve"> se representará localmente como:</w:t>
      </w:r>
    </w:p>
    <w:p w14:paraId="38FF286F" w14:textId="77777777" w:rsidR="00861F5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ig</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ig</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ig</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ig</m:t>
                  </m:r>
                </m:sub>
                <m: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e>
                  </m:d>
                </m:sup>
              </m:sSubSup>
            </m:e>
          </m:d>
        </m:oMath>
      </m:oMathPara>
    </w:p>
    <w:p w14:paraId="2FBF0CB5" w14:textId="77777777" w:rsidR="00861F5E" w:rsidRDefault="00000000">
      <w:pPr>
        <w:pStyle w:val="FirstParagraph"/>
      </w:pPr>
      <w:r>
        <w:t>Si un sensor pertenece justificadamente a varios grupos, la superposición se documentará, ya que las alarmas locales serán dependientes. Estas alarmas identificarán dónde aparecen desviaciones en las señales, pero no demostrarán por sí mismas el origen físico o cibernético del ataque.</w:t>
      </w:r>
    </w:p>
    <w:p w14:paraId="4F574230" w14:textId="77777777" w:rsidR="000717CB" w:rsidRPr="00EB4A3D" w:rsidRDefault="00000000">
      <w:pPr>
        <w:pStyle w:val="Ttulo2"/>
        <w:rPr>
          <w:color w:val="000000" w:themeColor="text1"/>
        </w:rPr>
      </w:pPr>
      <w:r>
        <w:t>2.8. Normalización y ponderación</w:t>
      </w:r>
    </w:p>
    <w:p w14:paraId="6192FB62" w14:textId="77777777" w:rsidR="000717CB" w:rsidRPr="00EB4A3D" w:rsidRDefault="00EB4A3D">
      <w:pPr>
        <w:pStyle w:val="FirstParagraph"/>
        <w:rPr>
          <w:color w:val="000000" w:themeColor="text1"/>
        </w:rPr>
      </w:pPr>
      <w:r>
        <w:t xml:space="preserve">Para integrar señales con unidades y dispersiones diferentes se estudiará la ponderación por el inverso de su variabilidad funcional integrada, tal como permite el marco multivariante </w:t>
      </w:r>
      <w:sdt>
        <w:sdtPr>
          <w:rPr>
            <w:color w:val="000000" w:themeColor="text1"/>
          </w:rPr>
          <w:id w:val="-1003899456"/>
          <w:citation/>
        </w:sdtPr>
        <w:sdtContent>
          <w:r>
            <w:rPr>
              <w:color w:val="000000" w:themeColor="text1"/>
            </w:rPr>
            <w:fldChar w:fldCharType="begin"/>
          </w:r>
          <w:r>
            <w:rPr>
              <w:color w:val="000000" w:themeColor="text1"/>
              <w:lang w:val="es-MX"/>
            </w:rPr>
            <w:instrText xml:space="preserve"> CITATION HappGreven2018 \l 2058 </w:instrText>
          </w:r>
          <w:r>
            <w:rPr>
              <w:color w:val="000000" w:themeColor="text1"/>
            </w:rPr>
            <w:fldChar w:fldCharType="separate"/>
          </w:r>
          <w:r w:rsidR="004D0E2C" w:rsidRPr="004D0E2C">
            <w:rPr>
              <w:noProof/>
              <w:color w:val="000000" w:themeColor="text1"/>
              <w:lang w:val="es-MX"/>
            </w:rPr>
            <w:t>(Happ &amp; Greven, 2018)</w:t>
          </w:r>
          <w:r>
            <w:rPr>
              <w:color w:val="000000" w:themeColor="text1"/>
            </w:rPr>
            <w:fldChar w:fldCharType="end"/>
          </w:r>
        </w:sdtContent>
      </w:sdt>
      <w:r>
        <w:t>. Para cada componente no constante se define:</w:t>
      </w:r>
    </w:p>
    <w:p w14:paraId="5EC2D789"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23</m:t>
              </m:r>
            </m:sup>
            <m:e>
              <m:r>
                <m:rPr>
                  <m:sty m:val="p"/>
                </m:rPr>
                <w:rPr>
                  <w:rFonts w:ascii="Cambria Math" w:hAnsi="Cambria Math"/>
                </w:rPr>
                <m:t>Var</m:t>
              </m:r>
            </m:e>
          </m:nary>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dt</m:t>
          </m:r>
        </m:oMath>
      </m:oMathPara>
    </w:p>
    <w:p w14:paraId="73D3830D" w14:textId="77777777" w:rsidR="00861F5E" w:rsidRDefault="00000000">
      <w:pPr>
        <w:pStyle w:val="FirstParagraph"/>
        <w:rPr>
          <w:color w:val="000000" w:themeColor="text1"/>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&gt;</m:t>
          </m:r>
          <m:r>
            <w:rPr>
              <w:rFonts w:ascii="Cambria Math" w:hAnsi="Cambria Math"/>
            </w:rPr>
            <m:t>0</m:t>
          </m:r>
        </m:oMath>
      </m:oMathPara>
    </w:p>
    <w:p w14:paraId="1457733A" w14:textId="77777777" w:rsidR="000717CB" w:rsidRPr="00EB4A3D" w:rsidRDefault="00000000">
      <w:pPr>
        <w:pStyle w:val="FirstParagraph"/>
        <w:rPr>
          <w:color w:val="000000" w:themeColor="text1"/>
        </w:rPr>
      </w:pPr>
      <w:r w:rsidRPr="00EB4A3D">
        <w:rPr>
          <w:color w:val="000000" w:themeColor="text1"/>
        </w:rPr>
        <w:t>La componente centrada y ponderada será:</w:t>
      </w:r>
    </w:p>
    <w:p w14:paraId="79EC21F4" w14:textId="77777777" w:rsidR="00861F5E" w:rsidRDefault="00000000">
      <w:pPr>
        <w:pStyle w:val="Textoindependiente"/>
        <w:rPr>
          <w:color w:val="000000" w:themeColor="text1"/>
        </w:rPr>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j</m:t>
                  </m:r>
                </m:sub>
              </m:sSub>
            </m:e>
          </m:rad>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d>
                <m:dPr>
                  <m:ctrlPr>
                    <w:rPr>
                      <w:rFonts w:ascii="Cambria Math" w:hAnsi="Cambria Math"/>
                    </w:rPr>
                  </m:ctrlPr>
                </m:dPr>
                <m:e>
                  <m:r>
                    <w:rPr>
                      <w:rFonts w:ascii="Cambria Math" w:hAnsi="Cambria Math"/>
                    </w:rPr>
                    <m:t>t</m:t>
                  </m:r>
                </m:e>
              </m:d>
            </m:e>
          </m:d>
        </m:oMath>
      </m:oMathPara>
    </w:p>
    <w:p w14:paraId="72DF7C15" w14:textId="77777777" w:rsidR="000717CB" w:rsidRPr="00EB4A3D" w:rsidRDefault="00000000">
      <w:pPr>
        <w:pStyle w:val="FirstParagraph"/>
        <w:rPr>
          <w:color w:val="000000" w:themeColor="text1"/>
        </w:rPr>
      </w:pPr>
      <w:r>
        <w:t xml:space="preserve">Los pesos inversos solo se aplicarán si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es positiva y estable en la referencia. Para señales de variabilidad casi nula se analizarán límites o ponderaciones alternativas, evitando pesos excesivos; las señales constantes permanecerán en un procedimiento paralelo de sentinelas.</w:t>
      </w:r>
    </w:p>
    <w:p w14:paraId="02A827F2" w14:textId="77777777" w:rsidR="000717CB" w:rsidRPr="00EB4A3D" w:rsidRDefault="00000000">
      <w:pPr>
        <w:pStyle w:val="Ttulo2"/>
        <w:rPr>
          <w:color w:val="000000" w:themeColor="text1"/>
        </w:rPr>
      </w:pPr>
      <w:r>
        <w:t>2.9. Objeto funcional multivariante</w:t>
      </w:r>
    </w:p>
    <w:p w14:paraId="08111B33" w14:textId="77777777" w:rsidR="000717CB" w:rsidRPr="00EB4A3D" w:rsidRDefault="00000000">
      <w:pPr>
        <w:pStyle w:val="FirstParagraph"/>
        <w:rPr>
          <w:color w:val="000000" w:themeColor="text1"/>
        </w:rPr>
      </w:pPr>
      <w:r>
        <w:t xml:space="preserve">Después de centrar y ponderar las trayectorias con variabilidad funcional positiva, el día </w:t>
      </w:r>
      <m:oMath>
        <m:r>
          <w:rPr>
            <w:rFonts w:ascii="Cambria Math" w:hAnsi="Cambria Math"/>
          </w:rPr>
          <m:t>i</m:t>
        </m:r>
      </m:oMath>
      <w:r>
        <w:t xml:space="preserve"> quedará representado por las </w:t>
      </w:r>
      <m:oMath>
        <m:r>
          <w:rPr>
            <w:rFonts w:ascii="Cambria Math" w:hAnsi="Cambria Math"/>
          </w:rPr>
          <m:t>p</m:t>
        </m:r>
      </m:oMath>
      <w:r>
        <w:t xml:space="preserve"> componentes seleccionadas para la MFPCA como:</w:t>
      </w:r>
    </w:p>
    <w:p w14:paraId="134D346C"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p</m:t>
                      </m:r>
                    </m:e>
                  </m:d>
                </m:sup>
              </m:sSubSup>
            </m:e>
          </m:d>
        </m:oMath>
      </m:oMathPara>
    </w:p>
    <w:p w14:paraId="13E0C2E2" w14:textId="77777777" w:rsidR="000717CB" w:rsidRPr="00EB4A3D" w:rsidRDefault="00000000">
      <w:pPr>
        <w:pStyle w:val="FirstParagraph"/>
        <w:rPr>
          <w:color w:val="000000" w:themeColor="text1"/>
        </w:rPr>
      </w:pPr>
      <w:r w:rsidRPr="00EB4A3D">
        <w:rPr>
          <w:color w:val="000000" w:themeColor="text1"/>
        </w:rPr>
        <w:t>perteneciente al espacio producto:</w:t>
      </w:r>
    </w:p>
    <w:p w14:paraId="30A11069" w14:textId="77777777" w:rsidR="00861F5E" w:rsidRDefault="00000000">
      <w:pPr>
        <w:pStyle w:val="Textoindependiente"/>
        <w:rPr>
          <w:color w:val="000000" w:themeColor="text1"/>
        </w:rPr>
      </w:pPr>
      <m:oMathPara>
        <m:oMathParaPr>
          <m:jc m:val="center"/>
        </m:oMathParaPr>
        <m:oMath>
          <m:r>
            <m:rPr>
              <m:scr m:val="script"/>
              <m:sty m:val="p"/>
            </m:rPr>
            <w:rPr>
              <w:rFonts w:ascii="Cambria Math" w:hAnsi="Cambria Math"/>
            </w:rPr>
            <m:t>H=</m:t>
          </m:r>
          <m:sSub>
            <m:sSubPr>
              <m:ctrlPr>
                <w:rPr>
                  <w:rFonts w:ascii="Cambria Math" w:hAnsi="Cambria Math"/>
                </w:rPr>
              </m:ctrlPr>
            </m:sSubPr>
            <m:e>
              <m:r>
                <m:rPr>
                  <m:scr m:val="script"/>
                  <m:sty m:val="p"/>
                </m:rP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p</m:t>
              </m:r>
            </m:sub>
          </m:sSub>
        </m:oMath>
      </m:oMathPara>
    </w:p>
    <w:p w14:paraId="2DFF6619" w14:textId="77777777" w:rsidR="000717CB" w:rsidRPr="00EB4A3D" w:rsidRDefault="00000000">
      <w:pPr>
        <w:pStyle w:val="FirstParagraph"/>
        <w:rPr>
          <w:color w:val="000000" w:themeColor="text1"/>
        </w:rPr>
      </w:pPr>
      <w:r>
        <w:t xml:space="preserve">Este espacio producto permite combinar funciones que utilizan representaciones distintas para cada variable </w:t>
      </w:r>
      <w:sdt>
        <w:sdtPr>
          <w:rPr>
            <w:color w:val="000000" w:themeColor="text1"/>
          </w:rPr>
          <w:id w:val="-1108432109"/>
          <w:citation/>
        </w:sdtPr>
        <w:sdtContent>
          <w:r>
            <w:rPr>
              <w:color w:val="000000" w:themeColor="text1"/>
            </w:rPr>
            <w:fldChar w:fldCharType="begin"/>
          </w:r>
          <w:r>
            <w:rPr>
              <w:color w:val="000000" w:themeColor="text1"/>
              <w:lang w:val="es-MX"/>
            </w:rPr>
            <w:instrText xml:space="preserve"> CITATION HappGreven2018 \l 2058 </w:instrText>
          </w:r>
          <w:r>
            <w:rPr>
              <w:color w:val="000000" w:themeColor="text1"/>
            </w:rPr>
            <w:fldChar w:fldCharType="separate"/>
          </w:r>
          <w:r w:rsidR="004D0E2C" w:rsidRPr="004D0E2C">
            <w:rPr>
              <w:noProof/>
              <w:color w:val="000000" w:themeColor="text1"/>
              <w:lang w:val="es-MX"/>
            </w:rPr>
            <w:t>(Happ &amp; Greven, 2018)</w:t>
          </w:r>
          <w:r>
            <w:rPr>
              <w:color w:val="000000" w:themeColor="text1"/>
            </w:rPr>
            <w:fldChar w:fldCharType="end"/>
          </w:r>
        </w:sdtContent>
      </w:sdt>
      <w:r>
        <w:t>.</w:t>
      </w:r>
    </w:p>
    <w:p w14:paraId="39FC9607" w14:textId="77777777" w:rsidR="000717CB" w:rsidRPr="00EB4A3D" w:rsidRDefault="00000000">
      <w:pPr>
        <w:pStyle w:val="Ttulo2"/>
        <w:rPr>
          <w:color w:val="000000" w:themeColor="text1"/>
        </w:rPr>
      </w:pPr>
      <w:r>
        <w:lastRenderedPageBreak/>
        <w:t>2.10. Reducción de dimensionalidad: análisis global y local</w:t>
      </w:r>
    </w:p>
    <w:p w14:paraId="2A144A92" w14:textId="77777777" w:rsidR="00861F5E" w:rsidRDefault="00000000">
      <w:pPr>
        <w:pStyle w:val="FirstParagraph"/>
      </w:pPr>
      <w:r>
        <w:t xml:space="preserve">La MFPCA global caracterizará la variación conjunta de las señales admitidas en el modelo. Si se conservan </w:t>
      </w:r>
      <m:oMath>
        <m:r>
          <w:rPr>
            <w:rFonts w:ascii="Cambria Math" w:hAnsi="Cambria Math"/>
          </w:rPr>
          <m:t>R</m:t>
        </m:r>
      </m:oMath>
      <w:r>
        <w:t xml:space="preserve"> componentes, la aproximación funcional será:</w:t>
      </w:r>
    </w:p>
    <w:p w14:paraId="677D91DD"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ξ</m:t>
                  </m:r>
                </m:e>
                <m:sub>
                  <m:r>
                    <w:rPr>
                      <w:rFonts w:ascii="Cambria Math" w:hAnsi="Cambria Math"/>
                    </w:rPr>
                    <m:t>ir</m:t>
                  </m:r>
                </m:sub>
              </m:sSub>
            </m:e>
          </m:nary>
          <m:sSub>
            <m:sSubPr>
              <m:ctrlPr>
                <w:rPr>
                  <w:rFonts w:ascii="Cambria Math" w:hAnsi="Cambria Math"/>
                </w:rPr>
              </m:ctrlPr>
            </m:sSubPr>
            <m:e>
              <m:r>
                <m:rPr>
                  <m:sty m:val="b"/>
                </m:rPr>
                <w:rPr>
                  <w:rFonts w:ascii="Cambria Math" w:hAnsi="Cambria Math"/>
                </w:rPr>
                <m:t>ϕ</m:t>
              </m:r>
            </m:e>
            <m:sub>
              <m:r>
                <w:rPr>
                  <w:rFonts w:ascii="Cambria Math" w:hAnsi="Cambria Math"/>
                </w:rPr>
                <m:t>r</m:t>
              </m:r>
            </m:sub>
          </m:sSub>
        </m:oMath>
      </m:oMathPara>
    </w:p>
    <w:p w14:paraId="5751A86C" w14:textId="77777777" w:rsidR="00861F5E" w:rsidRDefault="00000000">
      <w:pPr>
        <w:pStyle w:val="FirstParagraph"/>
      </w:pPr>
      <w:r>
        <w:t xml:space="preserve">El score de la componente </w:t>
      </w:r>
      <m:oMath>
        <m:r>
          <w:rPr>
            <w:rFonts w:ascii="Cambria Math" w:hAnsi="Cambria Math"/>
          </w:rPr>
          <m:t>r</m:t>
        </m:r>
      </m:oMath>
      <w:r>
        <w:t xml:space="preserve"> es la proyección del día </w:t>
      </w:r>
      <m:oMath>
        <m:r>
          <w:rPr>
            <w:rFonts w:ascii="Cambria Math" w:hAnsi="Cambria Math"/>
          </w:rPr>
          <m:t>i</m:t>
        </m:r>
      </m:oMath>
      <w:r>
        <w:t xml:space="preserve"> sobre la correspondiente dirección funcional multivariante:</w:t>
      </w:r>
    </w:p>
    <w:p w14:paraId="72B7089B" w14:textId="77777777" w:rsidR="00861F5E" w:rsidRDefault="00000000">
      <w:pPr>
        <w:pStyle w:val="Textoindependiente"/>
        <w:rPr>
          <w:color w:val="000000" w:themeColor="text1"/>
        </w:rP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r</m:t>
              </m:r>
            </m:sub>
          </m:sSub>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nary>
                <m:naryPr>
                  <m:limLoc m:val="subSup"/>
                  <m:ctrlPr>
                    <w:rPr>
                      <w:rFonts w:ascii="Cambria Math" w:hAnsi="Cambria Math"/>
                    </w:rPr>
                  </m:ctrlPr>
                </m:naryPr>
                <m:sub>
                  <m:r>
                    <w:rPr>
                      <w:rFonts w:ascii="Cambria Math" w:hAnsi="Cambria Math"/>
                    </w:rPr>
                    <m:t>0</m:t>
                  </m:r>
                </m:sub>
                <m:sup>
                  <m:r>
                    <w:rPr>
                      <w:rFonts w:ascii="Cambria Math" w:hAnsi="Cambria Math"/>
                    </w:rPr>
                    <m:t>23</m:t>
                  </m:r>
                </m:sup>
                <m:e>
                  <m:sSubSup>
                    <m:sSubSupPr>
                      <m:ctrlPr>
                        <w:rPr>
                          <w:rFonts w:ascii="Cambria Math" w:hAnsi="Cambria Math"/>
                        </w:rPr>
                      </m:ctrlPr>
                    </m:sSubSupPr>
                    <m:e>
                      <m:r>
                        <w:rPr>
                          <w:rFonts w:ascii="Cambria Math" w:hAnsi="Cambria Math"/>
                        </w:rPr>
                        <m:t>Z</m:t>
                      </m:r>
                    </m:e>
                    <m:sub>
                      <m:r>
                        <w:rPr>
                          <w:rFonts w:ascii="Cambria Math" w:hAnsi="Cambria Math"/>
                        </w:rPr>
                        <m:t>i</m:t>
                      </m:r>
                    </m:sub>
                    <m:sup>
                      <m:d>
                        <m:dPr>
                          <m:ctrlPr>
                            <w:rPr>
                              <w:rFonts w:ascii="Cambria Math" w:hAnsi="Cambria Math"/>
                            </w:rPr>
                          </m:ctrlPr>
                        </m:dPr>
                        <m:e>
                          <m:r>
                            <w:rPr>
                              <w:rFonts w:ascii="Cambria Math" w:hAnsi="Cambria Math"/>
                            </w:rPr>
                            <m:t>j</m:t>
                          </m:r>
                        </m:e>
                      </m:d>
                    </m:sup>
                  </m:sSubSup>
                </m:e>
              </m:nary>
            </m:e>
          </m:nary>
          <m:d>
            <m:dPr>
              <m:ctrlPr>
                <w:rPr>
                  <w:rFonts w:ascii="Cambria Math" w:hAnsi="Cambria Math"/>
                </w:rPr>
              </m:ctrlPr>
            </m:dPr>
            <m:e>
              <m:r>
                <w:rPr>
                  <w:rFonts w:ascii="Cambria Math" w:hAnsi="Cambria Math"/>
                </w:rPr>
                <m:t>t</m:t>
              </m:r>
            </m:e>
          </m:d>
          <m:r>
            <w:rPr>
              <w:rFonts w:ascii="Cambria Math" w:hAnsi="Cambria Math"/>
            </w:rPr>
            <m:t> </m:t>
          </m:r>
          <m:sSubSup>
            <m:sSubSupPr>
              <m:ctrlPr>
                <w:rPr>
                  <w:rFonts w:ascii="Cambria Math" w:hAnsi="Cambria Math"/>
                </w:rPr>
              </m:ctrlPr>
            </m:sSubSupPr>
            <m:e>
              <m:r>
                <w:rPr>
                  <w:rFonts w:ascii="Cambria Math" w:hAnsi="Cambria Math"/>
                </w:rPr>
                <m:t>ϕ</m:t>
              </m:r>
            </m:e>
            <m:sub>
              <m:r>
                <w:rPr>
                  <w:rFonts w:ascii="Cambria Math" w:hAnsi="Cambria Math"/>
                </w:rPr>
                <m:t>r</m:t>
              </m:r>
            </m:sub>
            <m:sup>
              <m:d>
                <m:dPr>
                  <m:ctrlPr>
                    <w:rPr>
                      <w:rFonts w:ascii="Cambria Math" w:hAnsi="Cambria Math"/>
                    </w:rPr>
                  </m:ctrlPr>
                </m:dPr>
                <m:e>
                  <m:r>
                    <w:rPr>
                      <w:rFonts w:ascii="Cambria Math" w:hAnsi="Cambria Math"/>
                    </w:rPr>
                    <m:t>j</m:t>
                  </m:r>
                </m:e>
              </m:d>
            </m:sup>
          </m:sSubSup>
          <m:d>
            <m:dPr>
              <m:ctrlPr>
                <w:rPr>
                  <w:rFonts w:ascii="Cambria Math" w:hAnsi="Cambria Math"/>
                </w:rPr>
              </m:ctrlPr>
            </m:dPr>
            <m:e>
              <m:r>
                <w:rPr>
                  <w:rFonts w:ascii="Cambria Math" w:hAnsi="Cambria Math"/>
                </w:rPr>
                <m:t>t</m:t>
              </m:r>
            </m:e>
          </m:d>
          <m:r>
            <w:rPr>
              <w:rFonts w:ascii="Cambria Math" w:hAnsi="Cambria Math"/>
            </w:rPr>
            <m:t> </m:t>
          </m:r>
          <m:r>
            <m:rPr>
              <m:sty m:val="p"/>
            </m:rPr>
            <w:rPr>
              <w:rFonts w:ascii="Cambria Math" w:hAnsi="Cambria Math"/>
            </w:rPr>
            <m:t>d</m:t>
          </m:r>
          <m:r>
            <w:rPr>
              <w:rFonts w:ascii="Cambria Math" w:hAnsi="Cambria Math"/>
            </w:rPr>
            <m:t>t</m:t>
          </m:r>
          <m:r>
            <m:rPr>
              <m:sty m:val="p"/>
            </m:rPr>
            <w:rPr>
              <w:rFonts w:ascii="Cambria Math" w:hAnsi="Cambria Math"/>
            </w:rPr>
            <m:t>.</m:t>
          </m:r>
        </m:oMath>
      </m:oMathPara>
    </w:p>
    <w:p w14:paraId="72D2062F" w14:textId="77777777" w:rsidR="00861F5E" w:rsidRDefault="00000000">
      <w:pPr>
        <w:pStyle w:val="FirstParagraph"/>
        <w:keepNext/>
      </w:pPr>
      <w:r>
        <w:t>Cada día quedará resumido por el vector de scores:</w:t>
      </w:r>
    </w:p>
    <w:p w14:paraId="7E443E38" w14:textId="77777777" w:rsidR="00861F5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ξ</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iR</m:t>
                  </m:r>
                </m:sub>
              </m:sSub>
            </m:e>
          </m:d>
        </m:oMath>
      </m:oMathPara>
    </w:p>
    <w:p w14:paraId="1B13E202" w14:textId="77777777" w:rsidR="00861F5E" w:rsidRDefault="00000000">
      <w:pPr>
        <w:pStyle w:val="FirstParagraph"/>
      </w:pPr>
      <w:r>
        <w:t>El cálculo se repetirá para los grupos físicos con suficiente información. Se utilizará MFPCA local cuando haya varias señales variables; para grupos con una sola señal se considerará FPCA o una estadística funcional univariante, sin llamarla MFPCA.</w:t>
      </w:r>
    </w:p>
    <w:p w14:paraId="64D21D59" w14:textId="77777777" w:rsidR="000717CB" w:rsidRPr="00EB4A3D" w:rsidRDefault="00000000">
      <w:pPr>
        <w:pStyle w:val="Ttulo2"/>
        <w:rPr>
          <w:color w:val="000000" w:themeColor="text1"/>
        </w:rPr>
      </w:pPr>
      <w:r>
        <w:t>2.11. Selección del número de componentes</w:t>
      </w:r>
    </w:p>
    <w:p w14:paraId="6BBCC921" w14:textId="77777777" w:rsidR="000717CB" w:rsidRPr="00EB4A3D" w:rsidRDefault="00000000">
      <w:pPr>
        <w:pStyle w:val="FirstParagraph"/>
        <w:rPr>
          <w:color w:val="000000" w:themeColor="text1"/>
        </w:rPr>
      </w:pPr>
      <w:r>
        <w:t xml:space="preserve">El número </w:t>
      </w:r>
      <m:oMath>
        <m:r>
          <w:rPr>
            <w:rFonts w:ascii="Cambria Math" w:hAnsi="Cambria Math"/>
          </w:rPr>
          <m:t>R</m:t>
        </m:r>
      </m:oMath>
      <w:r>
        <w:t xml:space="preserve"> de componentes se determinará exclusivamente con la referencia, según los criterios siguientes:</w:t>
      </w:r>
    </w:p>
    <w:p w14:paraId="447CE31C" w14:textId="77777777" w:rsidR="000717CB" w:rsidRPr="00EB4A3D" w:rsidRDefault="00000000">
      <w:pPr>
        <w:pStyle w:val="Compact"/>
        <w:numPr>
          <w:ilvl w:val="0"/>
          <w:numId w:val="2"/>
        </w:numPr>
        <w:rPr>
          <w:color w:val="000000" w:themeColor="text1"/>
        </w:rPr>
      </w:pPr>
      <w:r w:rsidRPr="00EB4A3D">
        <w:rPr>
          <w:color w:val="000000" w:themeColor="text1"/>
        </w:rPr>
        <w:t>proporción acumulada de varianza explicada;</w:t>
      </w:r>
    </w:p>
    <w:p w14:paraId="06218736" w14:textId="77777777" w:rsidR="000717CB" w:rsidRPr="00EB4A3D" w:rsidRDefault="00000000">
      <w:pPr>
        <w:pStyle w:val="Compact"/>
        <w:numPr>
          <w:ilvl w:val="0"/>
          <w:numId w:val="2"/>
        </w:numPr>
        <w:rPr>
          <w:color w:val="000000" w:themeColor="text1"/>
        </w:rPr>
      </w:pPr>
      <w:r w:rsidRPr="00EB4A3D">
        <w:rPr>
          <w:color w:val="000000" w:themeColor="text1"/>
        </w:rPr>
        <w:t>inspección del decrecimiento de los autovalores;</w:t>
      </w:r>
    </w:p>
    <w:p w14:paraId="4F4CD485" w14:textId="77777777" w:rsidR="000717CB" w:rsidRPr="00EB4A3D" w:rsidRDefault="00000000">
      <w:pPr>
        <w:pStyle w:val="Compact"/>
        <w:numPr>
          <w:ilvl w:val="0"/>
          <w:numId w:val="2"/>
        </w:numPr>
        <w:rPr>
          <w:color w:val="000000" w:themeColor="text1"/>
        </w:rPr>
      </w:pPr>
      <w:r>
        <w:rPr>
          <w:color w:val="000000" w:themeColor="text1"/>
        </w:rPr>
        <w:t xml:space="preserve">estabilidad de los primeros componentes ante cambios moderados en </w:t>
      </w:r>
      <m:oMath>
        <m:r>
          <w:rPr>
            <w:rFonts w:ascii="Cambria Math" w:hAnsi="Cambria Math"/>
          </w:rPr>
          <m:t>R</m:t>
        </m:r>
      </m:oMath>
      <w:r>
        <w:rPr>
          <w:color w:val="000000" w:themeColor="text1"/>
        </w:rPr>
        <w:t>;</w:t>
      </w:r>
    </w:p>
    <w:p w14:paraId="5181CB1B" w14:textId="77777777" w:rsidR="000717CB" w:rsidRPr="00EB4A3D" w:rsidRDefault="00000000">
      <w:pPr>
        <w:pStyle w:val="Compact"/>
        <w:numPr>
          <w:ilvl w:val="0"/>
          <w:numId w:val="2"/>
        </w:numPr>
        <w:rPr>
          <w:color w:val="000000" w:themeColor="text1"/>
        </w:rPr>
      </w:pPr>
      <w:r>
        <w:t>sensibilidad del procedimiento mediante validación interna exclusivamente en el conjunto de referencia.</w:t>
      </w:r>
    </w:p>
    <w:p w14:paraId="7B59AE03" w14:textId="77777777" w:rsidR="000717CB" w:rsidRPr="00EB4A3D" w:rsidRDefault="00EB4A3D">
      <w:pPr>
        <w:pStyle w:val="FirstParagraph"/>
        <w:rPr>
          <w:color w:val="000000" w:themeColor="text1"/>
        </w:rPr>
      </w:pPr>
      <w:r>
        <w:t xml:space="preserve">La decisión se aplicará también a los modelos locales, según el tamaño de cada grupo y su variabilidad. Se conservarán las reglas de selección y sus semillas aleatorias para hacer reproducible el análisis </w:t>
      </w:r>
      <w:sdt>
        <w:sdtPr>
          <w:rPr>
            <w:color w:val="000000" w:themeColor="text1"/>
          </w:rPr>
          <w:id w:val="2088490371"/>
          <w:citation/>
        </w:sdtPr>
        <w:sdtContent>
          <w:r>
            <w:rPr>
              <w:color w:val="000000" w:themeColor="text1"/>
            </w:rPr>
            <w:fldChar w:fldCharType="begin"/>
          </w:r>
          <w:r>
            <w:rPr>
              <w:color w:val="000000" w:themeColor="text1"/>
              <w:lang w:val="es-MX"/>
            </w:rPr>
            <w:instrText xml:space="preserve"> CITATION HappGreven2018 \l 2058 </w:instrText>
          </w:r>
          <w:r>
            <w:rPr>
              <w:color w:val="000000" w:themeColor="text1"/>
            </w:rPr>
            <w:fldChar w:fldCharType="separate"/>
          </w:r>
          <w:r w:rsidR="004D0E2C" w:rsidRPr="004D0E2C">
            <w:rPr>
              <w:noProof/>
              <w:color w:val="000000" w:themeColor="text1"/>
              <w:lang w:val="es-MX"/>
            </w:rPr>
            <w:t>(Happ &amp; Greven, 2018)</w:t>
          </w:r>
          <w:r>
            <w:rPr>
              <w:color w:val="000000" w:themeColor="text1"/>
            </w:rPr>
            <w:fldChar w:fldCharType="end"/>
          </w:r>
        </w:sdtContent>
      </w:sdt>
      <w:r>
        <w:t>.</w:t>
      </w:r>
    </w:p>
    <w:p w14:paraId="3A7595D0" w14:textId="77777777" w:rsidR="000717CB" w:rsidRPr="00EB4A3D" w:rsidRDefault="00000000">
      <w:pPr>
        <w:pStyle w:val="Ttulo2"/>
        <w:rPr>
          <w:color w:val="000000" w:themeColor="text1"/>
        </w:rPr>
      </w:pPr>
      <w:r>
        <w:t>2.12. Construcción de scores de anomalía</w:t>
      </w:r>
    </w:p>
    <w:p w14:paraId="4C01159E" w14:textId="77777777" w:rsidR="00861F5E" w:rsidRDefault="00000000">
      <w:pPr>
        <w:pStyle w:val="FirstParagraph"/>
      </w:pPr>
      <w:r>
        <w:t>Se contrastarán tres familias de estadísticas que cuantifican formas distintas de comportamiento atípico. Su aplicación y calibración se definirán antes de analizar las etiquetas de evaluación.</w:t>
      </w:r>
    </w:p>
    <w:p w14:paraId="60A72C0F" w14:textId="77777777" w:rsidR="00861F5E" w:rsidRDefault="00000000">
      <w:pPr>
        <w:pStyle w:val="Textoindependiente"/>
      </w:pPr>
      <w:r>
        <w:t xml:space="preserve">El estadístico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de Hotelling mide el alejamiento dentro del subespacio principal de la referencia:</w:t>
      </w:r>
    </w:p>
    <w:p w14:paraId="0852173D" w14:textId="77777777" w:rsidR="00861F5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R</m:t>
              </m:r>
            </m:sup>
            <m:e>
              <m:f>
                <m:fPr>
                  <m:ctrlPr>
                    <w:rPr>
                      <w:rFonts w:ascii="Cambria Math" w:hAnsi="Cambria Math"/>
                    </w:rPr>
                  </m:ctrlPr>
                </m:fPr>
                <m:num>
                  <m:sSubSup>
                    <m:sSubSupPr>
                      <m:ctrlPr>
                        <w:rPr>
                          <w:rFonts w:ascii="Cambria Math" w:hAnsi="Cambria Math"/>
                        </w:rPr>
                      </m:ctrlPr>
                    </m:sSubSupPr>
                    <m:e>
                      <m:r>
                        <w:rPr>
                          <w:rFonts w:ascii="Cambria Math" w:hAnsi="Cambria Math"/>
                        </w:rPr>
                        <m:t>ξ</m:t>
                      </m:r>
                    </m:e>
                    <m:sub>
                      <m:r>
                        <w:rPr>
                          <w:rFonts w:ascii="Cambria Math" w:hAnsi="Cambria Math"/>
                        </w:rPr>
                        <m:t>ir</m:t>
                      </m:r>
                    </m:sub>
                    <m:sup>
                      <m:r>
                        <w:rPr>
                          <w:rFonts w:ascii="Cambria Math" w:hAnsi="Cambria Math"/>
                        </w:rPr>
                        <m:t>2</m:t>
                      </m:r>
                    </m:sup>
                  </m:sSubSup>
                </m:num>
                <m:den>
                  <m:sSub>
                    <m:sSubPr>
                      <m:ctrlPr>
                        <w:rPr>
                          <w:rFonts w:ascii="Cambria Math" w:hAnsi="Cambria Math"/>
                        </w:rPr>
                      </m:ctrlPr>
                    </m:sSubPr>
                    <m:e>
                      <m:r>
                        <w:rPr>
                          <w:rFonts w:ascii="Cambria Math" w:hAnsi="Cambria Math"/>
                        </w:rPr>
                        <m:t>λ</m:t>
                      </m:r>
                    </m:e>
                    <m:sub>
                      <m:r>
                        <w:rPr>
                          <w:rFonts w:ascii="Cambria Math" w:hAnsi="Cambria Math"/>
                        </w:rPr>
                        <m:t>r</m:t>
                      </m:r>
                    </m:sub>
                  </m:sSub>
                </m:den>
              </m:f>
            </m:e>
          </m:nary>
        </m:oMath>
      </m:oMathPara>
    </w:p>
    <w:p w14:paraId="50524631" w14:textId="77777777" w:rsidR="00861F5E" w:rsidRDefault="00000000">
      <w:pPr>
        <w:pStyle w:val="FirstParagraph"/>
      </w:pPr>
      <w:r>
        <w:t xml:space="preserve">donde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es el autovalor asociado con la componente </w:t>
      </w:r>
      <m:oMath>
        <m:r>
          <w:rPr>
            <w:rFonts w:ascii="Cambria Math" w:hAnsi="Cambria Math"/>
          </w:rPr>
          <m:t>r</m:t>
        </m:r>
      </m:oMath>
      <w:r>
        <w:t>. El error cuadrático residual SPE, también denominado Q, mide la parte no reconstruida por el modelo:</w:t>
      </w:r>
    </w:p>
    <w:p w14:paraId="7F5BA721" w14:textId="77777777" w:rsidR="00861F5E"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SPE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Z</m:t>
                  </m:r>
                </m:e>
              </m:acc>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m:rPr>
                  <m:scr m:val="script"/>
                  <m:sty m:val="p"/>
                </m:rPr>
                <w:rPr>
                  <w:rFonts w:ascii="Cambria Math" w:hAnsi="Cambria Math"/>
                </w:rPr>
                <m:t>H</m:t>
              </m:r>
            </m:sub>
            <m:sup>
              <m:r>
                <w:rPr>
                  <w:rFonts w:ascii="Cambria Math" w:hAnsi="Cambria Math"/>
                </w:rPr>
                <m:t>2</m:t>
              </m:r>
            </m:sup>
          </m:sSubSup>
        </m:oMath>
      </m:oMathPara>
    </w:p>
    <w:p w14:paraId="7A279B50" w14:textId="77777777" w:rsidR="00861F5E" w:rsidRDefault="00000000">
      <w:pPr>
        <w:pStyle w:val="FirstParagraph"/>
      </w:pPr>
      <w:r>
        <w:t xml:space="preserve">Los estadísticos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y Q/SPE tienen antecedentes diferentes y complementarios en el control estadístico mediante componentes principales </w:t>
      </w:r>
      <w:sdt>
        <w:sdtPr>
          <w:id w:val="1800000008"/>
          <w:citation/>
        </w:sdtPr>
        <w:sdtContent>
          <w:r>
            <w:fldChar w:fldCharType="begin"/>
          </w:r>
          <w:r>
            <w:instrText xml:space="preserve"> CITATION JacksonMudholkar1979 \l 2058 </w:instrText>
          </w:r>
          <w:r>
            <w:fldChar w:fldCharType="separate"/>
          </w:r>
          <w:r w:rsidR="004D0E2C" w:rsidRPr="004D0E2C">
            <w:rPr>
              <w:noProof/>
            </w:rPr>
            <w:t>(Jackson &amp; Mudholkar, 1979)</w:t>
          </w:r>
          <w:r>
            <w:fldChar w:fldCharType="end"/>
          </w:r>
        </w:sdtContent>
      </w:sdt>
      <w:r>
        <w:t xml:space="preserve"> y en la supervisión estadística de procesos </w:t>
      </w:r>
      <w:sdt>
        <w:sdtPr>
          <w:id w:val="-461493819"/>
          <w:citation/>
        </w:sdtPr>
        <w:sdtContent>
          <w:r>
            <w:fldChar w:fldCharType="begin"/>
          </w:r>
          <w:r>
            <w:instrText xml:space="preserve"> CITATION Qin2003 \l 2058 </w:instrText>
          </w:r>
          <w:r>
            <w:fldChar w:fldCharType="separate"/>
          </w:r>
          <w:r w:rsidR="004D0E2C" w:rsidRPr="004D0E2C">
            <w:rPr>
              <w:noProof/>
            </w:rPr>
            <w:t>(Qin, 2003)</w:t>
          </w:r>
          <w:r>
            <w:fldChar w:fldCharType="end"/>
          </w:r>
        </w:sdtContent>
      </w:sdt>
      <w:r>
        <w:t>.</w:t>
      </w:r>
    </w:p>
    <w:p w14:paraId="5C7E55DB" w14:textId="77777777" w:rsidR="00861F5E" w:rsidRDefault="00000000">
      <w:pPr>
        <w:pStyle w:val="Textoindependiente"/>
      </w:pPr>
      <w:r>
        <w:t>La profundidad funcional proporciona una perspectiva alternativa: evalúa la centralidad de una trayectoria respecto al conjunto de referencia, sin exigir que la anomalía se describa solo en el espacio lineal de scores. Para la curva i se escribirá:</w:t>
      </w:r>
    </w:p>
    <w:p w14:paraId="75B08DE5" w14:textId="77777777" w:rsidR="00861F5E"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D</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j</m:t>
                  </m:r>
                </m:sub>
                <m:sup>
                  <m:r>
                    <m:rPr>
                      <m:sty m:val="p"/>
                    </m:rPr>
                    <w:rPr>
                      <w:rFonts w:ascii="Cambria Math" w:hAnsi="Cambria Math"/>
                    </w:rPr>
                    <m:t>ref</m:t>
                  </m:r>
                </m:sup>
              </m:sSubSup>
            </m:e>
          </m:d>
        </m:oMath>
      </m:oMathPara>
    </w:p>
    <w:p w14:paraId="11407425" w14:textId="77777777" w:rsidR="00861F5E" w:rsidRDefault="00000000">
      <w:pPr>
        <w:pStyle w:val="FirstParagraph"/>
      </w:pPr>
      <w:r>
        <w:t xml:space="preserve">Valores pequeños de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indican una curva periférica. Se probará inicialmente la profundidad integrada de Fraiman–Muniz </w:t>
      </w:r>
      <w:sdt>
        <w:sdtPr>
          <w:id w:val="413360651"/>
          <w:citation/>
        </w:sdtPr>
        <w:sdtContent>
          <w:r>
            <w:fldChar w:fldCharType="begin"/>
          </w:r>
          <w:r>
            <w:instrText xml:space="preserve"> CITATION FraimanMuniz2001 \l 2058 </w:instrText>
          </w:r>
          <w:r>
            <w:fldChar w:fldCharType="separate"/>
          </w:r>
          <w:r w:rsidR="004D0E2C" w:rsidRPr="004D0E2C">
            <w:rPr>
              <w:noProof/>
            </w:rPr>
            <w:t>(Fraiman &amp; Muniz, 2001)</w:t>
          </w:r>
          <w:r>
            <w:fldChar w:fldCharType="end"/>
          </w:r>
        </w:sdtContent>
      </w:sdt>
      <w:r>
        <w:t xml:space="preserve"> disponible para objetos fdata en fda.usc </w:t>
      </w:r>
      <w:sdt>
        <w:sdtPr>
          <w:id w:val="-1980363043"/>
          <w:citation/>
        </w:sdtPr>
        <w:sdtContent>
          <w:r>
            <w:fldChar w:fldCharType="begin"/>
          </w:r>
          <w:r>
            <w:instrText xml:space="preserve"> CITATION FebreroBande2012 \l 2058 </w:instrText>
          </w:r>
          <w:r>
            <w:fldChar w:fldCharType="separate"/>
          </w:r>
          <w:r w:rsidR="004D0E2C" w:rsidRPr="004D0E2C">
            <w:rPr>
              <w:noProof/>
            </w:rPr>
            <w:t>(Febrero-Bande &amp; Oviedo de la Fuente, 2012)</w:t>
          </w:r>
          <w:r>
            <w:fldChar w:fldCharType="end"/>
          </w:r>
        </w:sdtContent>
      </w:sdt>
      <w:r>
        <w:t xml:space="preserve">. Su empleo como estadístico de control se apoya en trabajos de profundidad y rangos funcionales aplicados a energía y climatización en edificios </w:t>
      </w:r>
      <w:sdt>
        <w:sdtPr>
          <w:id w:val="-2128989980"/>
          <w:citation/>
        </w:sdtPr>
        <w:sdtContent>
          <w:r>
            <w:fldChar w:fldCharType="begin"/>
          </w:r>
          <w:r>
            <w:instrText xml:space="preserve"> CITATION Flores2020 \l 2058 </w:instrText>
          </w:r>
          <w:r>
            <w:fldChar w:fldCharType="separate"/>
          </w:r>
          <w:r w:rsidR="004D0E2C" w:rsidRPr="004D0E2C">
            <w:rPr>
              <w:noProof/>
            </w:rPr>
            <w:t>(Flores, et al., 2020)</w:t>
          </w:r>
          <w:r>
            <w:fldChar w:fldCharType="end"/>
          </w:r>
        </w:sdtContent>
      </w:sdt>
      <w:r>
        <w:t>.</w:t>
      </w:r>
    </w:p>
    <w:p w14:paraId="70B45CEC" w14:textId="77777777" w:rsidR="00861F5E" w:rsidRDefault="00000000">
      <w:pPr>
        <w:pStyle w:val="Textoindependiente"/>
      </w:pPr>
      <w:r>
        <w:t xml:space="preserve">La literatura aplicada aporta criterios para pasar de una medida de alejamiento a una decisión. Flores y colaboradores construyeron estadísticas funcionales para comparar curvas térmicas de distintos laboratorios y calibraron límites mediante bootstrap </w:t>
      </w:r>
      <w:sdt>
        <w:sdtPr>
          <w:id w:val="-128238648"/>
          <w:citation/>
        </w:sdtPr>
        <w:sdtContent>
          <w:r>
            <w:fldChar w:fldCharType="begin"/>
          </w:r>
          <w:r>
            <w:instrText xml:space="preserve"> CITATION Flores2018 \l 2058 </w:instrText>
          </w:r>
          <w:r>
            <w:fldChar w:fldCharType="separate"/>
          </w:r>
          <w:r w:rsidR="004D0E2C" w:rsidRPr="004D0E2C">
            <w:rPr>
              <w:noProof/>
            </w:rPr>
            <w:t>(Flores, Tarrío-Saavedra, Fernández-Casal, &amp; Naya, 2018)</w:t>
          </w:r>
          <w:r>
            <w:fldChar w:fldCharType="end"/>
          </w:r>
        </w:sdtContent>
      </w:sdt>
      <w:r>
        <w:t xml:space="preserve">. Posteriormente, documentaron en R procedimientos de control paramétrico, de profundidad y gráficos para datos funcionales </w:t>
      </w:r>
      <w:sdt>
        <w:sdtPr>
          <w:id w:val="-1070568907"/>
          <w:citation/>
        </w:sdtPr>
        <w:sdtContent>
          <w:r>
            <w:fldChar w:fldCharType="begin"/>
          </w:r>
          <w:r>
            <w:instrText xml:space="preserve"> CITATION Flores2021 \l 2058 </w:instrText>
          </w:r>
          <w:r>
            <w:fldChar w:fldCharType="separate"/>
          </w:r>
          <w:r w:rsidR="004D0E2C" w:rsidRPr="004D0E2C">
            <w:rPr>
              <w:noProof/>
            </w:rPr>
            <w:t>(Flores, Fernández-Casal, Naya, &amp; Tarrío-Saavedra, 2021)</w:t>
          </w:r>
          <w:r>
            <w:fldChar w:fldCharType="end"/>
          </w:r>
        </w:sdtContent>
      </w:sdt>
      <w:r>
        <w:t>. En BATADAL se adoptará el principio de separar estadística, distribución de referencia y regla de alarma; no se trasladarán sin comprobación las hipótesis específicas de las aplicaciones originales.</w:t>
      </w:r>
    </w:p>
    <w:p w14:paraId="525DAD63" w14:textId="77777777" w:rsidR="00861F5E" w:rsidRDefault="00000000">
      <w:pPr>
        <w:pStyle w:val="FirstParagraph"/>
      </w:pPr>
      <w:r>
        <w:t xml:space="preserve">La profundidad se evaluará inicialmente por señal, mientras que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y SPE se calcularán sobre MFPCA global y, donde sea viable, local. Para combinar señales, estadísticas o alarmas se especificará una regla previa y se calibrará sobre la referencia; no se escogerá retrospectivamente la combinación que maximice las detecciones del test.</w:t>
      </w:r>
    </w:p>
    <w:p w14:paraId="6ED19F48" w14:textId="77777777" w:rsidR="000717CB" w:rsidRPr="00EB4A3D" w:rsidRDefault="00000000">
      <w:pPr>
        <w:pStyle w:val="Ttulo2"/>
        <w:rPr>
          <w:color w:val="000000" w:themeColor="text1"/>
        </w:rPr>
      </w:pPr>
      <w:r>
        <w:t>2.13. Calibración de umbrales</w:t>
      </w:r>
    </w:p>
    <w:p w14:paraId="7AD871B5" w14:textId="77777777" w:rsidR="00861F5E" w:rsidRDefault="00000000">
      <w:pPr>
        <w:pStyle w:val="FirstParagraph"/>
      </w:pPr>
      <w:r>
        <w:t xml:space="preserve">Las estadísticas y sus umbrales se estimarán con una separación temporal de ajuste y calibración dentro de dataset03 para reducir el optimismo por reutilizar las mismas curvas. La cola superior de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y SPE y la cola inferior de profundidad indicarán desviación:</w:t>
      </w:r>
    </w:p>
    <w:p w14:paraId="5C8F23F7" w14:textId="77777777" w:rsidR="00861F5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SPE</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Q</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&lt;</m:t>
          </m:r>
          <m:sSub>
            <m:sSubPr>
              <m:ctrlPr>
                <w:rPr>
                  <w:rFonts w:ascii="Cambria Math" w:hAnsi="Cambria Math"/>
                </w:rPr>
              </m:ctrlPr>
            </m:sSubPr>
            <m:e>
              <m:r>
                <w:rPr>
                  <w:rFonts w:ascii="Cambria Math" w:hAnsi="Cambria Math"/>
                </w:rPr>
                <m:t>h</m:t>
              </m:r>
            </m:e>
            <m:sub>
              <m:r>
                <w:rPr>
                  <w:rFonts w:ascii="Cambria Math" w:hAnsi="Cambria Math"/>
                </w:rPr>
                <m:t>D</m:t>
              </m:r>
              <m:r>
                <m:rPr>
                  <m:sty m:val="p"/>
                </m:rPr>
                <w:rPr>
                  <w:rFonts w:ascii="Cambria Math" w:hAnsi="Cambria Math"/>
                </w:rPr>
                <m:t>,</m:t>
              </m:r>
              <m:r>
                <w:rPr>
                  <w:rFonts w:ascii="Cambria Math" w:hAnsi="Cambria Math"/>
                </w:rPr>
                <m:t>j</m:t>
              </m:r>
            </m:sub>
          </m:sSub>
        </m:oMath>
      </m:oMathPara>
    </w:p>
    <w:p w14:paraId="7A639444" w14:textId="77777777" w:rsidR="00861F5E" w:rsidRDefault="00000000">
      <w:pPr>
        <w:pStyle w:val="FirstParagraph"/>
      </w:pPr>
      <w:r>
        <w:lastRenderedPageBreak/>
        <w:t xml:space="preserve">Se compararán límites por cuantiles empíricos y remuestreo que respete la dependencia entre días, como el bootstrap por bloques. El marco de fases I y II del control estadístico constituye una referencia útil para separar calibración y aplicación </w:t>
      </w:r>
      <w:sdt>
        <w:sdtPr>
          <w:id w:val="1178475263"/>
          <w:citation/>
        </w:sdtPr>
        <w:sdtContent>
          <w:r>
            <w:fldChar w:fldCharType="begin"/>
          </w:r>
          <w:r>
            <w:instrText xml:space="preserve"> CITATION Flores2021 \l 2058 </w:instrText>
          </w:r>
          <w:r>
            <w:fldChar w:fldCharType="separate"/>
          </w:r>
          <w:r w:rsidR="004D0E2C" w:rsidRPr="004D0E2C">
            <w:rPr>
              <w:noProof/>
            </w:rPr>
            <w:t>(Flores, Fernández-Casal, Naya, &amp; Tarrío-Saavedra, 2021)</w:t>
          </w:r>
          <w:r>
            <w:fldChar w:fldCharType="end"/>
          </w:r>
        </w:sdtContent>
      </w:sdt>
      <w:r>
        <w:t>. Si se aplican múltiples pruebas locales, se documentará cómo se controla o interpreta la tasa de falsas alarmas conjunta.</w:t>
      </w:r>
    </w:p>
    <w:p w14:paraId="593BF73A" w14:textId="77777777" w:rsidR="00861F5E" w:rsidRDefault="00000000">
      <w:pPr>
        <w:pStyle w:val="Textoindependiente"/>
      </w:pPr>
      <w:r>
        <w:t xml:space="preserve">La calibración se efectuará sin ATT_FLAG y sus reglas quedarán fijadas antes de proyectar dataset04 o test. El uso de residuos y umbrales respecto a un modelo normal también cuenta con antecedentes en redes de agua </w:t>
      </w:r>
      <w:sdt>
        <w:sdtPr>
          <w:id w:val="-36282207"/>
          <w:citation/>
        </w:sdtPr>
        <w:sdtContent>
          <w:r>
            <w:fldChar w:fldCharType="begin"/>
          </w:r>
          <w:r>
            <w:instrText xml:space="preserve"> CITATION Housh2018 \l 2058 </w:instrText>
          </w:r>
          <w:r>
            <w:fldChar w:fldCharType="separate"/>
          </w:r>
          <w:r w:rsidR="004D0E2C" w:rsidRPr="004D0E2C">
            <w:rPr>
              <w:noProof/>
            </w:rPr>
            <w:t>(Housh &amp; Ohar, 2018)</w:t>
          </w:r>
          <w:r>
            <w:fldChar w:fldCharType="end"/>
          </w:r>
        </w:sdtContent>
      </w:sdt>
      <w:r>
        <w:t>.</w:t>
      </w:r>
    </w:p>
    <w:p w14:paraId="6C885617" w14:textId="77777777" w:rsidR="00861F5E" w:rsidRDefault="00000000">
      <w:pPr>
        <w:pStyle w:val="Ttulo2"/>
      </w:pPr>
      <w:r>
        <w:t>2.14. Localización y mapa de susceptibilidad empírica</w:t>
      </w:r>
    </w:p>
    <w:p w14:paraId="455BB162" w14:textId="77777777" w:rsidR="00861F5E" w:rsidRDefault="00000000">
      <w:pPr>
        <w:pStyle w:val="FirstParagraph"/>
      </w:pPr>
      <w:r>
        <w:t xml:space="preserve">Para cada día </w:t>
      </w:r>
      <m:oMath>
        <m:r>
          <w:rPr>
            <w:rFonts w:ascii="Cambria Math" w:hAnsi="Cambria Math"/>
          </w:rPr>
          <m:t>i</m:t>
        </m:r>
      </m:oMath>
      <w:r>
        <w:t xml:space="preserve"> y grupo </w:t>
      </w:r>
      <m:oMath>
        <m:r>
          <w:rPr>
            <w:rFonts w:ascii="Cambria Math" w:hAnsi="Cambria Math"/>
          </w:rPr>
          <m:t>g</m:t>
        </m:r>
      </m:oMath>
      <w:r>
        <w:t xml:space="preserve"> se definirá </w:t>
      </w:r>
      <m:oMath>
        <m:sSub>
          <m:sSubPr>
            <m:ctrlPr>
              <w:rPr>
                <w:rFonts w:ascii="Cambria Math" w:hAnsi="Cambria Math"/>
              </w:rPr>
            </m:ctrlPr>
          </m:sSubPr>
          <m:e>
            <m:r>
              <w:rPr>
                <w:rFonts w:ascii="Cambria Math" w:hAnsi="Cambria Math"/>
              </w:rPr>
              <m:t>A</m:t>
            </m:r>
          </m:e>
          <m:sub>
            <m:r>
              <w:rPr>
                <w:rFonts w:ascii="Cambria Math" w:hAnsi="Cambria Math"/>
              </w:rPr>
              <m:t>ig</m:t>
            </m:r>
          </m:sub>
        </m:sSub>
      </m:oMath>
      <w:r>
        <w:t xml:space="preserve"> como la estadística local seleccionada previamente y </w:t>
      </w:r>
      <m:oMath>
        <m:sSub>
          <m:sSubPr>
            <m:ctrlPr>
              <w:rPr>
                <w:rFonts w:ascii="Cambria Math" w:hAnsi="Cambria Math"/>
              </w:rPr>
            </m:ctrlPr>
          </m:sSubPr>
          <m:e>
            <m:r>
              <w:rPr>
                <w:rFonts w:ascii="Cambria Math" w:hAnsi="Cambria Math"/>
              </w:rPr>
              <m:t>h</m:t>
            </m:r>
          </m:e>
          <m:sub>
            <m:r>
              <w:rPr>
                <w:rFonts w:ascii="Cambria Math" w:hAnsi="Cambria Math"/>
              </w:rPr>
              <m:t>g</m:t>
            </m:r>
          </m:sub>
        </m:sSub>
      </m:oMath>
      <w:r>
        <w:t xml:space="preserve"> como su límite calibrado. Si se estudian varias estadísticas, se presentarán por separado hasta validar una regla de combinación. La matriz de días × grupos permitirá localizar desviaciones observadas, sin atribuirles automáticamente una causa.</w:t>
      </w:r>
    </w:p>
    <w:p w14:paraId="69B0CE59" w14:textId="77777777" w:rsidR="00861F5E" w:rsidRDefault="00000000">
      <w:pPr>
        <w:pStyle w:val="Textoindependiente"/>
      </w:pPr>
      <w:r>
        <w:t xml:space="preserve">Para cada grupo </w:t>
      </w:r>
      <m:oMath>
        <m:r>
          <w:rPr>
            <w:rFonts w:ascii="Cambria Math" w:hAnsi="Cambria Math"/>
          </w:rPr>
          <m:t>g</m:t>
        </m:r>
      </m:oMath>
      <w:r>
        <w:t xml:space="preserve"> se calculará la proporción de días evaluables con excedencia del límite local:</w:t>
      </w:r>
    </w:p>
    <w:p w14:paraId="3EE90CB1" w14:textId="77777777" w:rsidR="00861F5E"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g</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g</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ig</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m:t>
          </m:r>
        </m:oMath>
      </m:oMathPara>
    </w:p>
    <w:p w14:paraId="0D98AC69" w14:textId="77777777" w:rsidR="00861F5E" w:rsidRDefault="00000000">
      <w:pPr>
        <w:pStyle w:val="FirstParagraph"/>
      </w:pPr>
      <w:r>
        <w:t xml:space="preserve">El conjunto </w:t>
      </w:r>
      <m:oMath>
        <m:sSub>
          <m:sSubPr>
            <m:ctrlPr>
              <w:rPr>
                <w:rFonts w:ascii="Cambria Math" w:hAnsi="Cambria Math"/>
              </w:rPr>
            </m:ctrlPr>
          </m:sSubPr>
          <m:e>
            <m:r>
              <w:rPr>
                <w:rFonts w:ascii="Cambria Math" w:hAnsi="Cambria Math"/>
              </w:rPr>
              <m:t>E</m:t>
            </m:r>
          </m:e>
          <m:sub>
            <m:r>
              <w:rPr>
                <w:rFonts w:ascii="Cambria Math" w:hAnsi="Cambria Math"/>
              </w:rPr>
              <m:t>g</m:t>
            </m:r>
          </m:sub>
        </m:sSub>
      </m:oMath>
      <w:r>
        <w:t xml:space="preserve"> comprende los días evaluables del grupo y </w:t>
      </w:r>
      <m:oMath>
        <m:sSub>
          <m:sSubPr>
            <m:ctrlPr>
              <w:rPr>
                <w:rFonts w:ascii="Cambria Math" w:hAnsi="Cambria Math"/>
              </w:rPr>
            </m:ctrlPr>
          </m:sSubPr>
          <m:e>
            <m:r>
              <w:rPr>
                <w:rFonts w:ascii="Cambria Math" w:hAnsi="Cambria Math"/>
              </w:rPr>
              <m:t>n</m:t>
            </m:r>
          </m:e>
          <m:sub>
            <m:r>
              <w:rPr>
                <w:rFonts w:ascii="Cambria Math" w:hAnsi="Cambria Math"/>
              </w:rPr>
              <m:t>g</m:t>
            </m:r>
          </m:sub>
        </m:sSub>
      </m:oMath>
      <w:r>
        <w:t xml:space="preserve"> es su tamaño.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resume la frecuencia de alertas, no la probabilidad de sufrir ataques. Se informarán cobertura sensorial y tasa de falsas alarmas de referencia. Los nodos sin instrumentación no recibirán valores estimados sin un modelo espacial adicional.</w:t>
      </w:r>
    </w:p>
    <w:p w14:paraId="351ADDE9" w14:textId="77777777" w:rsidR="000717CB" w:rsidRPr="00EB4A3D" w:rsidRDefault="00000000">
      <w:pPr>
        <w:pStyle w:val="Ttulo2"/>
        <w:rPr>
          <w:color w:val="000000" w:themeColor="text1"/>
        </w:rPr>
      </w:pPr>
      <w:r>
        <w:t>2.15. Evaluación del desempeño</w:t>
      </w:r>
    </w:p>
    <w:p w14:paraId="62BFFC19" w14:textId="77777777" w:rsidR="00861F5E" w:rsidRDefault="00000000">
      <w:pPr>
        <w:pStyle w:val="FirstParagraph"/>
      </w:pPr>
      <w:r>
        <w:t>La evaluación se realizará únicamente después de fijar representación funcional, grupos, componentes, estadísticas y umbrales. Como la salida es diaria, las etiquetas horarias se agregan por día. En dataset04 se respetará que el código −999 significa información no confirmada; en test se utilizarán las ventanas documentadas para crear las etiquetas de evaluación.</w:t>
      </w:r>
    </w:p>
    <w:p w14:paraId="7A373DB8" w14:textId="77777777" w:rsidR="00861F5E" w:rsidRDefault="00000000">
      <w:pPr>
        <w:pStyle w:val="FirstParagraph"/>
      </w:pPr>
      <w:r>
        <w:t xml:space="preserve">Un día tendrá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w:r>
        <w:t xml:space="preserve"> si contiene al menos una hora de ataque confirmado,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oMath>
      <w:r>
        <w:t xml:space="preserve"> si sus 24 horas son normales según la fuente de referencia pertinente y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=NA</m:t>
        </m:r>
      </m:oMath>
      <w:r>
        <w:t xml:space="preserve"> si la información es insuficiente. En dataset04, −999 no se equiparará a normalidad; en test, la normalidad fuera de ventanas responderá a la convención del calendario oficial.</w:t>
      </w:r>
    </w:p>
    <w:p w14:paraId="3447B89A" w14:textId="77777777" w:rsidR="00861F5E" w:rsidRDefault="00000000">
      <w:pPr>
        <w:pStyle w:val="Textoindependiente"/>
      </w:pPr>
      <w:r>
        <w:t>Se estimarán precisión, sensibilidad, F1 y especificidad con días cuya etiqueta de referencia esté definida:</w:t>
      </w:r>
    </w:p>
    <w:p w14:paraId="3E81B00E" w14:textId="77777777" w:rsidR="00861F5E" w:rsidRDefault="00000000">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,NA}</m:t>
          </m:r>
        </m:oMath>
      </m:oMathPara>
    </w:p>
    <w:p w14:paraId="104BE733" w14:textId="77777777" w:rsidR="00861F5E" w:rsidRDefault="00000000">
      <w:pPr>
        <w:pStyle w:val="Textoindependiente"/>
        <w:rPr>
          <w:color w:val="000000" w:themeColor="text1"/>
        </w:rPr>
      </w:pPr>
      <m:oMathPara>
        <m:oMathParaPr>
          <m:jc m:val="center"/>
        </m:oMathParaPr>
        <m:oMath>
          <m:r>
            <m:rPr>
              <m:sty m:val="p"/>
            </m:rPr>
            <w:rPr>
              <w:rFonts w:ascii="Cambria Math" w:hAnsi="Cambria Math"/>
            </w:rPr>
            <w:lastRenderedPageBreak/>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4AF14866" w14:textId="77777777" w:rsidR="00861F5E" w:rsidRDefault="00000000">
      <w:pPr>
        <w:pStyle w:val="FirstParagraph"/>
        <w:rPr>
          <w:color w:val="000000" w:themeColor="text1"/>
        </w:rPr>
      </w:pPr>
      <m:oMathPara>
        <m:oMathParaPr>
          <m:jc m:val="center"/>
        </m:oMathParaPr>
        <m:oMath>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257345BA" w14:textId="77777777" w:rsidR="00861F5E" w:rsidRDefault="00000000">
      <w:pPr>
        <w:pStyle w:val="FirstParagraph"/>
      </w:pPr>
      <w:r>
        <w:t>Asimismo se reportarán F1 y especificidad:</w:t>
      </w:r>
    </w:p>
    <w:p w14:paraId="5246ADC9" w14:textId="77777777" w:rsidR="00861F5E" w:rsidRDefault="00000000">
      <w:pPr>
        <w:pStyle w:val="FirstParagraph"/>
        <w:rPr>
          <w:color w:val="000000" w:themeColor="text1"/>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Precision⋅Recall</m:t>
              </m:r>
            </m:num>
            <m:den>
              <m:r>
                <m:rPr>
                  <m:sty m:val="p"/>
                </m:rPr>
                <w:rPr>
                  <w:rFonts w:ascii="Cambria Math" w:hAnsi="Cambria Math"/>
                </w:rPr>
                <m:t>Precision+Recall</m:t>
              </m:r>
            </m:den>
          </m:f>
        </m:oMath>
      </m:oMathPara>
    </w:p>
    <w:p w14:paraId="7C85E137" w14:textId="77777777" w:rsidR="00861F5E" w:rsidRDefault="00000000">
      <w:pPr>
        <w:pStyle w:val="Textoindependiente"/>
        <w:rPr>
          <w:color w:val="000000" w:themeColor="text1"/>
        </w:rPr>
      </w:pPr>
      <m:oMathPara>
        <m:oMathParaPr>
          <m:jc m:val="center"/>
        </m:oMathParaPr>
        <m:oMath>
          <m:r>
            <m:rPr>
              <m:sty m:val="p"/>
            </m:rPr>
            <w:rPr>
              <w:rFonts w:ascii="Cambria Math" w:hAnsi="Cambria Math"/>
            </w:rPr>
            <m:t>Specificity=</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oMath>
      </m:oMathPara>
    </w:p>
    <w:p w14:paraId="371DFC15" w14:textId="77777777" w:rsidR="00861F5E" w:rsidRDefault="00000000">
      <w:pPr>
        <w:pStyle w:val="FirstParagraph"/>
      </w:pPr>
      <w:r>
        <w:t xml:space="preserve">Cuando las etiquetas lo permitan se reportarán ROC-AUC y PR-AUC, así como una evaluación por evento. Debido a que el procedimiento produce alarmas diarias, no se afirmará precisión horaria en el tiempo de detección sin un mecanismo horario adicional. Para la localización se estudiará si el componente afectado según el registro del ataque aparece entre los grupos con mayor evidencia de desviación </w:t>
      </w:r>
      <w:sdt>
        <w:sdtPr>
          <w:id w:val="2091182804"/>
          <w:citation/>
        </w:sdtPr>
        <w:sdtContent>
          <w:r>
            <w:fldChar w:fldCharType="begin"/>
          </w:r>
          <w:r>
            <w:instrText xml:space="preserve"> CITATION Taormina2018 \l 2058 </w:instrText>
          </w:r>
          <w:r>
            <w:fldChar w:fldCharType="separate"/>
          </w:r>
          <w:r w:rsidR="004D0E2C" w:rsidRPr="004D0E2C">
            <w:rPr>
              <w:noProof/>
            </w:rPr>
            <w:t>(Taormina, et al., 2018)</w:t>
          </w:r>
          <w:r>
            <w:fldChar w:fldCharType="end"/>
          </w:r>
        </w:sdtContent>
      </w:sdt>
      <w:r>
        <w:t>.</w:t>
      </w:r>
    </w:p>
    <w:p w14:paraId="145C8A46" w14:textId="77777777" w:rsidR="00861F5E" w:rsidRDefault="00000000">
      <w:pPr>
        <w:pStyle w:val="Ttulo2"/>
      </w:pPr>
      <w:r>
        <w:t>2.16. Validación externa y reproducibilidad</w:t>
      </w:r>
    </w:p>
    <w:p w14:paraId="3D314E56" w14:textId="77777777" w:rsidR="00861F5E" w:rsidRDefault="00000000">
      <w:pPr>
        <w:pStyle w:val="FirstParagraph"/>
      </w:pPr>
      <w:r>
        <w:t>Para examinar la transportabilidad, el pipeline fijado sobre BATADAL se repetirá sobre una segunda base independiente con suficiente información temporal, normal y anómala. Se distinguirá entre reproducibilidad computacional (obtener los mismos resultados usando código, datos y configuraciones) y validación externa (comprobar el comportamiento del método en otro sistema).</w:t>
      </w:r>
    </w:p>
    <w:p w14:paraId="279707D8" w14:textId="77777777" w:rsidR="00861F5E" w:rsidRDefault="00000000">
      <w:pPr>
        <w:pStyle w:val="Textoindependiente"/>
      </w:pPr>
      <w:r>
        <w:t xml:space="preserve">Como candidatas se considerarán WADI, banco de pruebas de seguridad de una red de distribución </w:t>
      </w:r>
      <w:sdt>
        <w:sdtPr>
          <w:id w:val="1800000015"/>
          <w:citation/>
        </w:sdtPr>
        <w:sdtContent>
          <w:r>
            <w:fldChar w:fldCharType="begin"/>
          </w:r>
          <w:r>
            <w:instrText xml:space="preserve"> CITATION Ahmed2017 \l 2058 </w:instrText>
          </w:r>
          <w:r>
            <w:fldChar w:fldCharType="separate"/>
          </w:r>
          <w:r w:rsidR="004D0E2C" w:rsidRPr="004D0E2C">
            <w:rPr>
              <w:noProof/>
            </w:rPr>
            <w:t>(Ahmed, Palleti, &amp; Mathur, 2017)</w:t>
          </w:r>
          <w:r>
            <w:fldChar w:fldCharType="end"/>
          </w:r>
        </w:sdtContent>
      </w:sdt>
      <w:r>
        <w:t xml:space="preserve">, y LeakDB, benchmark para diagnóstico de fugas </w:t>
      </w:r>
      <w:sdt>
        <w:sdtPr>
          <w:id w:val="1800000016"/>
          <w:citation/>
        </w:sdtPr>
        <w:sdtContent>
          <w:r>
            <w:fldChar w:fldCharType="begin"/>
          </w:r>
          <w:r>
            <w:instrText xml:space="preserve"> CITATION Vrachimis2018 \l 2058 </w:instrText>
          </w:r>
          <w:r>
            <w:fldChar w:fldCharType="separate"/>
          </w:r>
          <w:r w:rsidR="004D0E2C" w:rsidRPr="004D0E2C">
            <w:rPr>
              <w:noProof/>
            </w:rPr>
            <w:t>(Vrachimis, Kyriakou, Eliades, &amp; Polycarpou, 2018)</w:t>
          </w:r>
          <w:r>
            <w:fldChar w:fldCharType="end"/>
          </w:r>
        </w:sdtContent>
      </w:sdt>
      <w:r>
        <w:t>. Antes de elegir se verificará que la frecuencia y duración permitan suficientes individuos funcionales; una serie corta no se presentará artificialmente como si ofreciera cientos de días independientes.</w:t>
      </w:r>
    </w:p>
    <w:p w14:paraId="6814B1B3" w14:textId="77777777" w:rsidR="00861F5E" w:rsidRDefault="00000000">
      <w:pPr>
        <w:pStyle w:val="FirstParagraph"/>
      </w:pPr>
      <w:r>
        <w:t xml:space="preserve">Se transferirá el protocolo de preparación, representación, reducción, estadísticos y evaluación, pero se volverán a estimar dentro de cada base los parámetros </w:t>
      </w:r>
      <m:oMath>
        <m:r>
          <w:rPr>
            <w:rFonts w:ascii="Cambria Math" w:hAnsi="Cambria Math"/>
          </w:rPr>
          <m:t>K</m:t>
        </m:r>
      </m:oMath>
      <w:r>
        <w:t xml:space="preserve">, </w:t>
      </w:r>
      <m:oMath>
        <m:r>
          <w:rPr>
            <w:rFonts w:ascii="Cambria Math" w:hAnsi="Cambria Math"/>
          </w:rPr>
          <m:t>λ</m:t>
        </m:r>
      </m:oMath>
      <w:r>
        <w:t xml:space="preserve">, </w:t>
      </w:r>
      <m:oMath>
        <m:r>
          <w:rPr>
            <w:rFonts w:ascii="Cambria Math" w:hAnsi="Cambria Math"/>
          </w:rPr>
          <m:t>R</m:t>
        </m:r>
      </m:oMath>
      <w:r>
        <w:t xml:space="preserve"> y los umbrales. Las diferencias entre eventos ciberfísicos, fugas y condiciones operativas se tratarán como límites de generalización.</w:t>
      </w:r>
    </w:p>
    <w:p w14:paraId="7CF1FDC2" w14:textId="77777777" w:rsidR="000717CB" w:rsidRPr="00EB4A3D" w:rsidRDefault="00000000">
      <w:pPr>
        <w:pStyle w:val="Ttulo2"/>
        <w:rPr>
          <w:color w:val="000000" w:themeColor="text1"/>
        </w:rPr>
      </w:pPr>
      <w:r>
        <w:t>2.17. Flujo metodológico final</w:t>
      </w:r>
    </w:p>
    <w:p w14:paraId="6AA10498" w14:textId="77777777" w:rsidR="00861F5E" w:rsidRDefault="00000000">
      <w:pPr>
        <w:pStyle w:val="FirstParagraph"/>
      </w:pPr>
      <w:r>
        <w:t>El procedimiento propuesto se resume en la siguiente secuencia, con dos salidas: alarma temporal y evidencia espacial sobre grupos instrumentados.</w:t>
      </w:r>
    </w:p>
    <w:p w14:paraId="3E3A24A5" w14:textId="77777777" w:rsidR="00861F5E" w:rsidRDefault="00000000">
      <w:pPr>
        <w:pStyle w:val="Textoindependiente"/>
      </w:pPr>
      <w:r>
        <w:t>BATADAL por particiones → días × 24 horas → objetos fdata → selección de bases → grupos físicos → ponderación.</w:t>
      </w:r>
    </w:p>
    <w:p w14:paraId="579C9738" w14:textId="77777777" w:rsidR="00861F5E" w:rsidRDefault="00000000">
      <w:pPr>
        <w:pStyle w:val="Textoindependiente"/>
      </w:pPr>
      <w:r>
        <w:lastRenderedPageBreak/>
        <w:t>MFPCA global y FPCA/MFPCA local → T², SPE y profundidad → calibración en referencia → alarmas diarias y evidencia local.</w:t>
      </w:r>
    </w:p>
    <w:p w14:paraId="2D6231E9" w14:textId="77777777" w:rsidR="00861F5E" w:rsidRDefault="00000000">
      <w:pPr>
        <w:pStyle w:val="Textoindependiente"/>
      </w:pPr>
      <w:r>
        <w:t>Mapa descriptivo de anomalías instrumentadas → evaluación por día y evento → validación externa del protocolo.</w:t>
      </w:r>
    </w:p>
    <w:p w14:paraId="2B218712" w14:textId="77777777" w:rsidR="00861F5E" w:rsidRDefault="00000000">
      <w:pPr>
        <w:pStyle w:val="Textoindependiente"/>
      </w:pPr>
      <w:r>
        <w:t>Esta estructura define el plan de análisis. Los parámetros definitivos, resultados y mapas se reportarán solo después de ejecutar y validar el procedimiento completo en R; las demostraciones didácticas previas no se incorporarán como resultados del artículo.</w:t>
      </w:r>
    </w:p>
    <w:p w14:paraId="404785B2" w14:textId="77777777" w:rsidR="000717CB" w:rsidRPr="00EB4A3D" w:rsidRDefault="00000000">
      <w:pPr>
        <w:pStyle w:val="Ttulo1"/>
        <w:rPr>
          <w:color w:val="000000" w:themeColor="text1"/>
        </w:rPr>
      </w:pPr>
      <w:bookmarkStart w:id="4" w:name="referencias"/>
      <w:r w:rsidRPr="00EB4A3D">
        <w:rPr>
          <w:color w:val="000000" w:themeColor="text1"/>
        </w:rPr>
        <w:t>3. Resultados</w:t>
      </w:r>
    </w:p>
    <w:p w14:paraId="12E0D46F" w14:textId="77777777" w:rsidR="000717CB" w:rsidRPr="00EB4A3D" w:rsidRDefault="00000000">
      <w:pPr>
        <w:rPr>
          <w:color w:val="000000" w:themeColor="text1"/>
        </w:rPr>
      </w:pPr>
      <w:r>
        <w:t>Sección reservada para resultados obtenidos mediante la implementación definitiva en R: reconstrucción funcional, MFPCA, comparaciones de scores, desempeño de detección, evidencia espacial y validación externa.</w:t>
      </w:r>
    </w:p>
    <w:p w14:paraId="564266D6" w14:textId="77777777" w:rsidR="000717CB" w:rsidRPr="00EB4A3D" w:rsidRDefault="00000000">
      <w:pPr>
        <w:pStyle w:val="Ttulo1"/>
        <w:rPr>
          <w:color w:val="000000" w:themeColor="text1"/>
        </w:rPr>
      </w:pPr>
      <w:r w:rsidRPr="00EB4A3D">
        <w:rPr>
          <w:color w:val="000000" w:themeColor="text1"/>
        </w:rPr>
        <w:t>4. Discusión y conclusiones</w:t>
      </w:r>
    </w:p>
    <w:p w14:paraId="4C7008A4" w14:textId="77777777" w:rsidR="000717CB" w:rsidRPr="00EB4A3D" w:rsidRDefault="00000000">
      <w:pPr>
        <w:rPr>
          <w:color w:val="000000" w:themeColor="text1"/>
        </w:rPr>
      </w:pPr>
      <w:r>
        <w:t>Sección reservada para interpretar los resultados definitivos, comparar con la literatura, discutir la incertidumbre del mapa y exponer limitaciones y líneas de trabajo futuro.</w:t>
      </w:r>
    </w:p>
    <w:sdt>
      <w:sdtPr>
        <w:rPr>
          <w:rFonts w:asciiTheme="minorHAnsi" w:eastAsiaTheme="minorHAnsi" w:hAnsiTheme="minorHAnsi" w:cstheme="minorBidi"/>
          <w:b w:val="0"/>
          <w:bCs w:val="0"/>
          <w:color w:val="auto"/>
          <w:sz w:val="24"/>
          <w:szCs w:val="24"/>
        </w:rPr>
        <w:id w:val="1502696606"/>
        <w:docPartObj>
          <w:docPartGallery w:val="Bibliographies"/>
          <w:docPartUnique/>
        </w:docPartObj>
      </w:sdtPr>
      <w:sdtContent>
        <w:p w14:paraId="010860CF" w14:textId="77777777" w:rsidR="000A3A7C" w:rsidRPr="00EB4A3D" w:rsidRDefault="000A3A7C">
          <w:pPr>
            <w:pStyle w:val="Ttulo1"/>
            <w:pageBreakBefore/>
            <w:rPr>
              <w:color w:val="000000" w:themeColor="text1"/>
            </w:rPr>
          </w:pPr>
          <w:r w:rsidRPr="00EB4A3D">
            <w:rPr>
              <w:color w:val="000000" w:themeColor="text1"/>
            </w:rPr>
            <w:t>Bibliografía</w:t>
          </w:r>
        </w:p>
        <w:sdt>
          <w:sdtPr>
            <w:id w:val="111145805"/>
            <w:bibliography/>
          </w:sdtPr>
          <w:sdtContent>
            <w:p w14:paraId="3976A7E3" w14:textId="77777777" w:rsidR="00861F5E" w:rsidRDefault="00000000">
              <w:pPr>
                <w:ind w:left="480" w:hanging="480"/>
              </w:pPr>
              <w:r>
                <w:rPr>
                  <w:vanish/>
                </w:rPr>
                <w:t>BIBLIOGRAPHY</w:t>
              </w:r>
              <w:r>
                <w:t>Abokifa, A. A., Haddad, K., Lo, C. S., &amp; Biswas, P. (2019). Real-Time Identification of Cyber-Physical Attacks on Water Distribution Systems via Machine Learning-Based Anomaly Detection Techniques. Journal of Water Resources Planning and Management, 145(1), 04018089. https://doi.org/10.1061/(ASCE)WR.1943-5452.0001023</w:t>
              </w:r>
            </w:p>
            <w:p w14:paraId="18137C45" w14:textId="77777777" w:rsidR="00861F5E" w:rsidRDefault="00000000">
              <w:pPr>
                <w:ind w:left="480" w:hanging="480"/>
              </w:pPr>
              <w:r>
                <w:t>Ahmed, C. M., Palleti, V. R., &amp; Mathur, A. P. (2017). WADI: A Water Distribution Testbed for Research in the Design of Secure Cyber Physical Systems. 3rd International Workshop on Cyber-Physical Systems for Smart Water Networks (CySWATER). https://doi.org/10.1145/3055366.3055375</w:t>
              </w:r>
            </w:p>
            <w:p w14:paraId="3E9328FA" w14:textId="77777777" w:rsidR="00861F5E" w:rsidRDefault="00000000">
              <w:pPr>
                <w:ind w:left="480" w:hanging="480"/>
              </w:pPr>
              <w:r>
                <w:t>Febrero-Bande, M. &amp; Oviedo de la Fuente, M. (2012). Statistical Computing in Functional Data Analysis: The R Package fda.usc. Journal of Statistical Software, 51(4), 1-28. https://doi.org/10.18637/jss.v051.i04</w:t>
              </w:r>
            </w:p>
            <w:p w14:paraId="2E97C45B" w14:textId="77777777" w:rsidR="00861F5E" w:rsidRDefault="00000000">
              <w:pPr>
                <w:ind w:left="480" w:hanging="480"/>
              </w:pPr>
              <w:r>
                <w:t>Flores, M., Tarrío-Saavedra, J., Fernández-Casal, R., &amp; Naya, S. (2018). Functional extensions of Mandel's h and k statistics for outlier detection in interlaboratory studies. Chemometrics and Intelligent Laboratory Systems, 176, 134–148. https://doi.org/10.1016/j.chemolab.2018.03.016</w:t>
              </w:r>
            </w:p>
            <w:p w14:paraId="0F54A01E" w14:textId="77777777" w:rsidR="00861F5E" w:rsidRDefault="00000000">
              <w:pPr>
                <w:ind w:left="480" w:hanging="480"/>
              </w:pPr>
              <w:r>
                <w:t>Flores, M., Naya, S., Fernández-Casal, R., Zaragoza, S., Raña, P., &amp; Tarrío-Saavedra, J. (2020). Constructing a Control Chart Using Functional Data. Mathematics, 8(1), 58. https://doi.org/10.3390/math8010058</w:t>
              </w:r>
            </w:p>
            <w:p w14:paraId="3C8F5632" w14:textId="77777777" w:rsidR="00861F5E" w:rsidRDefault="00000000">
              <w:pPr>
                <w:ind w:left="480" w:hanging="480"/>
              </w:pPr>
              <w:r>
                <w:t>Flores, M., Fernández-Casal, R., Naya, S., &amp; Tarrío-Saavedra, J. (2021). Statistical Quality Control with the qcr Package. The R Journal, 13(1), 194–217. https://doi.org/10.32614/RJ-2021-034</w:t>
              </w:r>
            </w:p>
            <w:p w14:paraId="61EA97F3" w14:textId="77777777" w:rsidR="00861F5E" w:rsidRDefault="00000000">
              <w:pPr>
                <w:ind w:left="480" w:hanging="480"/>
              </w:pPr>
              <w:r>
                <w:t>Fraiman, R. &amp; Muniz, G. (2001). Trimmed means for functional data. TEST, 10(2), 419-440. https://doi.org/10.1007/BF02595706</w:t>
              </w:r>
            </w:p>
            <w:p w14:paraId="7FD432AB" w14:textId="77777777" w:rsidR="00861F5E" w:rsidRDefault="00000000">
              <w:pPr>
                <w:ind w:left="480" w:hanging="480"/>
              </w:pPr>
              <w:r>
                <w:t>Happ, C. &amp; Greven, S. (2018). Multivariate Functional Principal Component Analysis for Data Observed on Different (Dimensional) Domains. Journal of the American Statistical Association, 113(522), 649-659. https://doi.org/10.1080/01621459.2016.1273115</w:t>
              </w:r>
            </w:p>
            <w:p w14:paraId="0AA8D1D2" w14:textId="77777777" w:rsidR="00861F5E" w:rsidRDefault="00000000">
              <w:pPr>
                <w:ind w:left="480" w:hanging="480"/>
              </w:pPr>
              <w:r>
                <w:t>Housh, M. &amp; Ohar, Z. (2018). Model-based approach for cyber-physical attack detection in water distribution systems. Water Research, 139, 132-143. https://doi.org/10.1016/j.watres.2018.03.039</w:t>
              </w:r>
            </w:p>
            <w:p w14:paraId="098616F8" w14:textId="77777777" w:rsidR="00861F5E" w:rsidRDefault="00000000">
              <w:pPr>
                <w:ind w:left="480" w:hanging="480"/>
              </w:pPr>
              <w:r>
                <w:t>Jackson, J. E. &amp; Mudholkar, G. S. (1979). Control Procedures for Residuals Associated With Principal Component Analysis. Technometrics, 21(3), 341-349. https://doi.org/10.1080/00401706.1979.10489779</w:t>
              </w:r>
            </w:p>
            <w:p w14:paraId="782BEBFA" w14:textId="77777777" w:rsidR="00861F5E" w:rsidRDefault="00000000">
              <w:pPr>
                <w:ind w:left="480" w:hanging="480"/>
              </w:pPr>
              <w:r>
                <w:t>Qin, S. J. (2003). Statistical process monitoring: basics and beyond. Journal of Chemometrics, 17(8-9), 480-502. https://doi.org/10.1002/cem.800</w:t>
              </w:r>
            </w:p>
            <w:p w14:paraId="4808C563" w14:textId="77777777" w:rsidR="00861F5E" w:rsidRDefault="00000000">
              <w:pPr>
                <w:ind w:left="480" w:hanging="480"/>
              </w:pPr>
              <w:r>
                <w:lastRenderedPageBreak/>
                <w:t>Ramotsoela, D. T., Hancke, G. P., &amp; Abu-Mahfouz, A. M. (2019). Attack detection in water distribution systems using machine learning. Human-centric Computing and Information Sciences, 9, 13. https://doi.org/10.1186/s13673-019-0175-8</w:t>
              </w:r>
            </w:p>
            <w:p w14:paraId="138952A4" w14:textId="77777777" w:rsidR="00861F5E" w:rsidRDefault="00000000">
              <w:pPr>
                <w:ind w:left="480" w:hanging="480"/>
              </w:pPr>
              <w:r>
                <w:t>Ramsay, J. O. &amp; Silverman, B. W. (2005). Functional Data Analysis. (2 ed.). Springer. https://doi.org/10.1007/b98888</w:t>
              </w:r>
            </w:p>
            <w:p w14:paraId="163411BB" w14:textId="77777777" w:rsidR="00861F5E" w:rsidRDefault="00000000">
              <w:pPr>
                <w:ind w:left="480" w:hanging="480"/>
              </w:pPr>
              <w:r>
                <w:t>Taormina, R., Galelli, S., Tippenhauer, N. O., Salomons, E., Ostfeld, A., &amp; Eliades, D. G. (2018). Battle of the Attack Detection Algorithms: Disclosing Cyber Attacks on Water Distribution Networks. Journal of Water Resources Planning and Management, 144(8), 04018048. https://doi.org/10.1061/(ASCE)WR.1943-5452.0000969</w:t>
              </w:r>
            </w:p>
            <w:p w14:paraId="6698F698" w14:textId="77777777" w:rsidR="00861F5E" w:rsidRDefault="00000000">
              <w:pPr>
                <w:ind w:left="480" w:hanging="480"/>
              </w:pPr>
              <w:r>
                <w:t>Vrachimis, S. G., Kyriakou, M. S., Eliades, D. G., &amp; Polycarpou, M. M. (2018). LeakDB: A Benchmark Dataset for Leakage Diagnosis in Water Distribution Networks. 1st International WDSA / CCWI Joint Conference. https://doi.org/10.5281/zenodo.1313116</w:t>
              </w:r>
            </w:p>
          </w:sdtContent>
        </w:sdt>
      </w:sdtContent>
    </w:sdt>
    <w:bookmarkEnd w:id="4" w:displacedByCustomXml="prev"/>
    <w:sectPr w:rsidR="00861F5E">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F6E9" w14:textId="77777777" w:rsidR="00E178AC" w:rsidRPr="00EB4A3D" w:rsidRDefault="00E178AC">
      <w:pPr>
        <w:spacing w:after="0"/>
      </w:pPr>
      <w:r w:rsidRPr="00EB4A3D">
        <w:separator/>
      </w:r>
    </w:p>
  </w:endnote>
  <w:endnote w:type="continuationSeparator" w:id="0">
    <w:p w14:paraId="3DA4B461" w14:textId="77777777" w:rsidR="00E178AC" w:rsidRPr="00EB4A3D" w:rsidRDefault="00E178AC">
      <w:pPr>
        <w:spacing w:after="0"/>
      </w:pPr>
      <w:r w:rsidRPr="00EB4A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E070" w14:textId="77777777" w:rsidR="000717CB" w:rsidRPr="00EB4A3D" w:rsidRDefault="000A3A7C">
    <w:pPr>
      <w:jc w:val="center"/>
    </w:pPr>
    <w:r w:rsidRPr="00EB4A3D">
      <w:rPr>
        <w:color w:val="78828C"/>
        <w:sz w:val="16"/>
      </w:rPr>
      <w:t>Paper · Alexander Yupangui · Introducción y Metodología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59A66" w14:textId="77777777" w:rsidR="00E178AC" w:rsidRPr="00EB4A3D" w:rsidRDefault="00E178AC">
      <w:r w:rsidRPr="00EB4A3D">
        <w:separator/>
      </w:r>
    </w:p>
  </w:footnote>
  <w:footnote w:type="continuationSeparator" w:id="0">
    <w:p w14:paraId="65E41D2E" w14:textId="77777777" w:rsidR="00E178AC" w:rsidRPr="00EB4A3D" w:rsidRDefault="00E178AC">
      <w:r w:rsidRPr="00EB4A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9248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F4AFD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73530162">
    <w:abstractNumId w:val="0"/>
  </w:num>
  <w:num w:numId="2" w16cid:durableId="13347964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CB"/>
    <w:rsid w:val="000717CB"/>
    <w:rsid w:val="000A3A7C"/>
    <w:rsid w:val="001C44D9"/>
    <w:rsid w:val="002F1EDA"/>
    <w:rsid w:val="0048026D"/>
    <w:rsid w:val="004D0E2C"/>
    <w:rsid w:val="005212D4"/>
    <w:rsid w:val="00861F5E"/>
    <w:rsid w:val="00894D12"/>
    <w:rsid w:val="00A96298"/>
    <w:rsid w:val="00C72435"/>
    <w:rsid w:val="00CE208C"/>
    <w:rsid w:val="00D27750"/>
    <w:rsid w:val="00E178AC"/>
    <w:rsid w:val="00EB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15F3"/>
  <w15:docId w15:val="{04BF27AC-350F-49BC-9B48-39AD1FFE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rPr>
  </w:style>
  <w:style w:type="paragraph" w:styleId="Ttulo1">
    <w:name w:val="heading 1"/>
    <w:basedOn w:val="Normal"/>
    <w:next w:val="Textoindependiente"/>
    <w:link w:val="Ttulo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0A3A7C"/>
    <w:pPr>
      <w:tabs>
        <w:tab w:val="center" w:pos="4419"/>
        <w:tab w:val="right" w:pos="8838"/>
      </w:tabs>
      <w:spacing w:after="0"/>
    </w:pPr>
  </w:style>
  <w:style w:type="character" w:customStyle="1" w:styleId="EncabezadoCar">
    <w:name w:val="Encabezado Car"/>
    <w:basedOn w:val="Fuentedeprrafopredeter"/>
    <w:link w:val="Encabezado"/>
    <w:rsid w:val="000A3A7C"/>
  </w:style>
  <w:style w:type="paragraph" w:styleId="Piedepgina">
    <w:name w:val="footer"/>
    <w:basedOn w:val="Normal"/>
    <w:link w:val="PiedepginaCar"/>
    <w:rsid w:val="000A3A7C"/>
    <w:pPr>
      <w:tabs>
        <w:tab w:val="center" w:pos="4419"/>
        <w:tab w:val="right" w:pos="8838"/>
      </w:tabs>
      <w:spacing w:after="0"/>
    </w:pPr>
  </w:style>
  <w:style w:type="character" w:customStyle="1" w:styleId="PiedepginaCar">
    <w:name w:val="Pie de página Car"/>
    <w:basedOn w:val="Fuentedeprrafopredeter"/>
    <w:link w:val="Piedepgina"/>
    <w:rsid w:val="000A3A7C"/>
  </w:style>
  <w:style w:type="character" w:customStyle="1" w:styleId="Ttulo1Car">
    <w:name w:val="Título 1 Car"/>
    <w:basedOn w:val="Fuentedeprrafopredeter"/>
    <w:link w:val="Ttulo1"/>
    <w:uiPriority w:val="9"/>
    <w:rsid w:val="000A3A7C"/>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7923">
      <w:bodyDiv w:val="1"/>
      <w:marLeft w:val="0"/>
      <w:marRight w:val="0"/>
      <w:marTop w:val="0"/>
      <w:marBottom w:val="0"/>
      <w:divBdr>
        <w:top w:val="none" w:sz="0" w:space="0" w:color="auto"/>
        <w:left w:val="none" w:sz="0" w:space="0" w:color="auto"/>
        <w:bottom w:val="none" w:sz="0" w:space="0" w:color="auto"/>
        <w:right w:val="none" w:sz="0" w:space="0" w:color="auto"/>
      </w:divBdr>
    </w:div>
    <w:div w:id="153573177">
      <w:bodyDiv w:val="1"/>
      <w:marLeft w:val="0"/>
      <w:marRight w:val="0"/>
      <w:marTop w:val="0"/>
      <w:marBottom w:val="0"/>
      <w:divBdr>
        <w:top w:val="none" w:sz="0" w:space="0" w:color="auto"/>
        <w:left w:val="none" w:sz="0" w:space="0" w:color="auto"/>
        <w:bottom w:val="none" w:sz="0" w:space="0" w:color="auto"/>
        <w:right w:val="none" w:sz="0" w:space="0" w:color="auto"/>
      </w:divBdr>
    </w:div>
    <w:div w:id="195701982">
      <w:bodyDiv w:val="1"/>
      <w:marLeft w:val="0"/>
      <w:marRight w:val="0"/>
      <w:marTop w:val="0"/>
      <w:marBottom w:val="0"/>
      <w:divBdr>
        <w:top w:val="none" w:sz="0" w:space="0" w:color="auto"/>
        <w:left w:val="none" w:sz="0" w:space="0" w:color="auto"/>
        <w:bottom w:val="none" w:sz="0" w:space="0" w:color="auto"/>
        <w:right w:val="none" w:sz="0" w:space="0" w:color="auto"/>
      </w:divBdr>
    </w:div>
    <w:div w:id="201137248">
      <w:bodyDiv w:val="1"/>
      <w:marLeft w:val="0"/>
      <w:marRight w:val="0"/>
      <w:marTop w:val="0"/>
      <w:marBottom w:val="0"/>
      <w:divBdr>
        <w:top w:val="none" w:sz="0" w:space="0" w:color="auto"/>
        <w:left w:val="none" w:sz="0" w:space="0" w:color="auto"/>
        <w:bottom w:val="none" w:sz="0" w:space="0" w:color="auto"/>
        <w:right w:val="none" w:sz="0" w:space="0" w:color="auto"/>
      </w:divBdr>
    </w:div>
    <w:div w:id="220794783">
      <w:bodyDiv w:val="1"/>
      <w:marLeft w:val="0"/>
      <w:marRight w:val="0"/>
      <w:marTop w:val="0"/>
      <w:marBottom w:val="0"/>
      <w:divBdr>
        <w:top w:val="none" w:sz="0" w:space="0" w:color="auto"/>
        <w:left w:val="none" w:sz="0" w:space="0" w:color="auto"/>
        <w:bottom w:val="none" w:sz="0" w:space="0" w:color="auto"/>
        <w:right w:val="none" w:sz="0" w:space="0" w:color="auto"/>
      </w:divBdr>
    </w:div>
    <w:div w:id="383724829">
      <w:bodyDiv w:val="1"/>
      <w:marLeft w:val="0"/>
      <w:marRight w:val="0"/>
      <w:marTop w:val="0"/>
      <w:marBottom w:val="0"/>
      <w:divBdr>
        <w:top w:val="none" w:sz="0" w:space="0" w:color="auto"/>
        <w:left w:val="none" w:sz="0" w:space="0" w:color="auto"/>
        <w:bottom w:val="none" w:sz="0" w:space="0" w:color="auto"/>
        <w:right w:val="none" w:sz="0" w:space="0" w:color="auto"/>
      </w:divBdr>
    </w:div>
    <w:div w:id="393285411">
      <w:bodyDiv w:val="1"/>
      <w:marLeft w:val="0"/>
      <w:marRight w:val="0"/>
      <w:marTop w:val="0"/>
      <w:marBottom w:val="0"/>
      <w:divBdr>
        <w:top w:val="none" w:sz="0" w:space="0" w:color="auto"/>
        <w:left w:val="none" w:sz="0" w:space="0" w:color="auto"/>
        <w:bottom w:val="none" w:sz="0" w:space="0" w:color="auto"/>
        <w:right w:val="none" w:sz="0" w:space="0" w:color="auto"/>
      </w:divBdr>
    </w:div>
    <w:div w:id="409425836">
      <w:bodyDiv w:val="1"/>
      <w:marLeft w:val="0"/>
      <w:marRight w:val="0"/>
      <w:marTop w:val="0"/>
      <w:marBottom w:val="0"/>
      <w:divBdr>
        <w:top w:val="none" w:sz="0" w:space="0" w:color="auto"/>
        <w:left w:val="none" w:sz="0" w:space="0" w:color="auto"/>
        <w:bottom w:val="none" w:sz="0" w:space="0" w:color="auto"/>
        <w:right w:val="none" w:sz="0" w:space="0" w:color="auto"/>
      </w:divBdr>
    </w:div>
    <w:div w:id="435752546">
      <w:bodyDiv w:val="1"/>
      <w:marLeft w:val="0"/>
      <w:marRight w:val="0"/>
      <w:marTop w:val="0"/>
      <w:marBottom w:val="0"/>
      <w:divBdr>
        <w:top w:val="none" w:sz="0" w:space="0" w:color="auto"/>
        <w:left w:val="none" w:sz="0" w:space="0" w:color="auto"/>
        <w:bottom w:val="none" w:sz="0" w:space="0" w:color="auto"/>
        <w:right w:val="none" w:sz="0" w:space="0" w:color="auto"/>
      </w:divBdr>
    </w:div>
    <w:div w:id="444036377">
      <w:bodyDiv w:val="1"/>
      <w:marLeft w:val="0"/>
      <w:marRight w:val="0"/>
      <w:marTop w:val="0"/>
      <w:marBottom w:val="0"/>
      <w:divBdr>
        <w:top w:val="none" w:sz="0" w:space="0" w:color="auto"/>
        <w:left w:val="none" w:sz="0" w:space="0" w:color="auto"/>
        <w:bottom w:val="none" w:sz="0" w:space="0" w:color="auto"/>
        <w:right w:val="none" w:sz="0" w:space="0" w:color="auto"/>
      </w:divBdr>
    </w:div>
    <w:div w:id="510031534">
      <w:bodyDiv w:val="1"/>
      <w:marLeft w:val="0"/>
      <w:marRight w:val="0"/>
      <w:marTop w:val="0"/>
      <w:marBottom w:val="0"/>
      <w:divBdr>
        <w:top w:val="none" w:sz="0" w:space="0" w:color="auto"/>
        <w:left w:val="none" w:sz="0" w:space="0" w:color="auto"/>
        <w:bottom w:val="none" w:sz="0" w:space="0" w:color="auto"/>
        <w:right w:val="none" w:sz="0" w:space="0" w:color="auto"/>
      </w:divBdr>
    </w:div>
    <w:div w:id="510871638">
      <w:bodyDiv w:val="1"/>
      <w:marLeft w:val="0"/>
      <w:marRight w:val="0"/>
      <w:marTop w:val="0"/>
      <w:marBottom w:val="0"/>
      <w:divBdr>
        <w:top w:val="none" w:sz="0" w:space="0" w:color="auto"/>
        <w:left w:val="none" w:sz="0" w:space="0" w:color="auto"/>
        <w:bottom w:val="none" w:sz="0" w:space="0" w:color="auto"/>
        <w:right w:val="none" w:sz="0" w:space="0" w:color="auto"/>
      </w:divBdr>
    </w:div>
    <w:div w:id="521631089">
      <w:bodyDiv w:val="1"/>
      <w:marLeft w:val="0"/>
      <w:marRight w:val="0"/>
      <w:marTop w:val="0"/>
      <w:marBottom w:val="0"/>
      <w:divBdr>
        <w:top w:val="none" w:sz="0" w:space="0" w:color="auto"/>
        <w:left w:val="none" w:sz="0" w:space="0" w:color="auto"/>
        <w:bottom w:val="none" w:sz="0" w:space="0" w:color="auto"/>
        <w:right w:val="none" w:sz="0" w:space="0" w:color="auto"/>
      </w:divBdr>
    </w:div>
    <w:div w:id="627200455">
      <w:bodyDiv w:val="1"/>
      <w:marLeft w:val="0"/>
      <w:marRight w:val="0"/>
      <w:marTop w:val="0"/>
      <w:marBottom w:val="0"/>
      <w:divBdr>
        <w:top w:val="none" w:sz="0" w:space="0" w:color="auto"/>
        <w:left w:val="none" w:sz="0" w:space="0" w:color="auto"/>
        <w:bottom w:val="none" w:sz="0" w:space="0" w:color="auto"/>
        <w:right w:val="none" w:sz="0" w:space="0" w:color="auto"/>
      </w:divBdr>
    </w:div>
    <w:div w:id="668679124">
      <w:bodyDiv w:val="1"/>
      <w:marLeft w:val="0"/>
      <w:marRight w:val="0"/>
      <w:marTop w:val="0"/>
      <w:marBottom w:val="0"/>
      <w:divBdr>
        <w:top w:val="none" w:sz="0" w:space="0" w:color="auto"/>
        <w:left w:val="none" w:sz="0" w:space="0" w:color="auto"/>
        <w:bottom w:val="none" w:sz="0" w:space="0" w:color="auto"/>
        <w:right w:val="none" w:sz="0" w:space="0" w:color="auto"/>
      </w:divBdr>
    </w:div>
    <w:div w:id="679815182">
      <w:bodyDiv w:val="1"/>
      <w:marLeft w:val="0"/>
      <w:marRight w:val="0"/>
      <w:marTop w:val="0"/>
      <w:marBottom w:val="0"/>
      <w:divBdr>
        <w:top w:val="none" w:sz="0" w:space="0" w:color="auto"/>
        <w:left w:val="none" w:sz="0" w:space="0" w:color="auto"/>
        <w:bottom w:val="none" w:sz="0" w:space="0" w:color="auto"/>
        <w:right w:val="none" w:sz="0" w:space="0" w:color="auto"/>
      </w:divBdr>
    </w:div>
    <w:div w:id="709190841">
      <w:bodyDiv w:val="1"/>
      <w:marLeft w:val="0"/>
      <w:marRight w:val="0"/>
      <w:marTop w:val="0"/>
      <w:marBottom w:val="0"/>
      <w:divBdr>
        <w:top w:val="none" w:sz="0" w:space="0" w:color="auto"/>
        <w:left w:val="none" w:sz="0" w:space="0" w:color="auto"/>
        <w:bottom w:val="none" w:sz="0" w:space="0" w:color="auto"/>
        <w:right w:val="none" w:sz="0" w:space="0" w:color="auto"/>
      </w:divBdr>
    </w:div>
    <w:div w:id="717438462">
      <w:bodyDiv w:val="1"/>
      <w:marLeft w:val="0"/>
      <w:marRight w:val="0"/>
      <w:marTop w:val="0"/>
      <w:marBottom w:val="0"/>
      <w:divBdr>
        <w:top w:val="none" w:sz="0" w:space="0" w:color="auto"/>
        <w:left w:val="none" w:sz="0" w:space="0" w:color="auto"/>
        <w:bottom w:val="none" w:sz="0" w:space="0" w:color="auto"/>
        <w:right w:val="none" w:sz="0" w:space="0" w:color="auto"/>
      </w:divBdr>
    </w:div>
    <w:div w:id="761879006">
      <w:bodyDiv w:val="1"/>
      <w:marLeft w:val="0"/>
      <w:marRight w:val="0"/>
      <w:marTop w:val="0"/>
      <w:marBottom w:val="0"/>
      <w:divBdr>
        <w:top w:val="none" w:sz="0" w:space="0" w:color="auto"/>
        <w:left w:val="none" w:sz="0" w:space="0" w:color="auto"/>
        <w:bottom w:val="none" w:sz="0" w:space="0" w:color="auto"/>
        <w:right w:val="none" w:sz="0" w:space="0" w:color="auto"/>
      </w:divBdr>
    </w:div>
    <w:div w:id="777797244">
      <w:bodyDiv w:val="1"/>
      <w:marLeft w:val="0"/>
      <w:marRight w:val="0"/>
      <w:marTop w:val="0"/>
      <w:marBottom w:val="0"/>
      <w:divBdr>
        <w:top w:val="none" w:sz="0" w:space="0" w:color="auto"/>
        <w:left w:val="none" w:sz="0" w:space="0" w:color="auto"/>
        <w:bottom w:val="none" w:sz="0" w:space="0" w:color="auto"/>
        <w:right w:val="none" w:sz="0" w:space="0" w:color="auto"/>
      </w:divBdr>
    </w:div>
    <w:div w:id="851190682">
      <w:bodyDiv w:val="1"/>
      <w:marLeft w:val="0"/>
      <w:marRight w:val="0"/>
      <w:marTop w:val="0"/>
      <w:marBottom w:val="0"/>
      <w:divBdr>
        <w:top w:val="none" w:sz="0" w:space="0" w:color="auto"/>
        <w:left w:val="none" w:sz="0" w:space="0" w:color="auto"/>
        <w:bottom w:val="none" w:sz="0" w:space="0" w:color="auto"/>
        <w:right w:val="none" w:sz="0" w:space="0" w:color="auto"/>
      </w:divBdr>
    </w:div>
    <w:div w:id="888226930">
      <w:bodyDiv w:val="1"/>
      <w:marLeft w:val="0"/>
      <w:marRight w:val="0"/>
      <w:marTop w:val="0"/>
      <w:marBottom w:val="0"/>
      <w:divBdr>
        <w:top w:val="none" w:sz="0" w:space="0" w:color="auto"/>
        <w:left w:val="none" w:sz="0" w:space="0" w:color="auto"/>
        <w:bottom w:val="none" w:sz="0" w:space="0" w:color="auto"/>
        <w:right w:val="none" w:sz="0" w:space="0" w:color="auto"/>
      </w:divBdr>
    </w:div>
    <w:div w:id="888801424">
      <w:bodyDiv w:val="1"/>
      <w:marLeft w:val="0"/>
      <w:marRight w:val="0"/>
      <w:marTop w:val="0"/>
      <w:marBottom w:val="0"/>
      <w:divBdr>
        <w:top w:val="none" w:sz="0" w:space="0" w:color="auto"/>
        <w:left w:val="none" w:sz="0" w:space="0" w:color="auto"/>
        <w:bottom w:val="none" w:sz="0" w:space="0" w:color="auto"/>
        <w:right w:val="none" w:sz="0" w:space="0" w:color="auto"/>
      </w:divBdr>
    </w:div>
    <w:div w:id="898130170">
      <w:bodyDiv w:val="1"/>
      <w:marLeft w:val="0"/>
      <w:marRight w:val="0"/>
      <w:marTop w:val="0"/>
      <w:marBottom w:val="0"/>
      <w:divBdr>
        <w:top w:val="none" w:sz="0" w:space="0" w:color="auto"/>
        <w:left w:val="none" w:sz="0" w:space="0" w:color="auto"/>
        <w:bottom w:val="none" w:sz="0" w:space="0" w:color="auto"/>
        <w:right w:val="none" w:sz="0" w:space="0" w:color="auto"/>
      </w:divBdr>
    </w:div>
    <w:div w:id="905719854">
      <w:bodyDiv w:val="1"/>
      <w:marLeft w:val="0"/>
      <w:marRight w:val="0"/>
      <w:marTop w:val="0"/>
      <w:marBottom w:val="0"/>
      <w:divBdr>
        <w:top w:val="none" w:sz="0" w:space="0" w:color="auto"/>
        <w:left w:val="none" w:sz="0" w:space="0" w:color="auto"/>
        <w:bottom w:val="none" w:sz="0" w:space="0" w:color="auto"/>
        <w:right w:val="none" w:sz="0" w:space="0" w:color="auto"/>
      </w:divBdr>
    </w:div>
    <w:div w:id="911696872">
      <w:bodyDiv w:val="1"/>
      <w:marLeft w:val="0"/>
      <w:marRight w:val="0"/>
      <w:marTop w:val="0"/>
      <w:marBottom w:val="0"/>
      <w:divBdr>
        <w:top w:val="none" w:sz="0" w:space="0" w:color="auto"/>
        <w:left w:val="none" w:sz="0" w:space="0" w:color="auto"/>
        <w:bottom w:val="none" w:sz="0" w:space="0" w:color="auto"/>
        <w:right w:val="none" w:sz="0" w:space="0" w:color="auto"/>
      </w:divBdr>
    </w:div>
    <w:div w:id="977611140">
      <w:bodyDiv w:val="1"/>
      <w:marLeft w:val="0"/>
      <w:marRight w:val="0"/>
      <w:marTop w:val="0"/>
      <w:marBottom w:val="0"/>
      <w:divBdr>
        <w:top w:val="none" w:sz="0" w:space="0" w:color="auto"/>
        <w:left w:val="none" w:sz="0" w:space="0" w:color="auto"/>
        <w:bottom w:val="none" w:sz="0" w:space="0" w:color="auto"/>
        <w:right w:val="none" w:sz="0" w:space="0" w:color="auto"/>
      </w:divBdr>
    </w:div>
    <w:div w:id="1012608087">
      <w:bodyDiv w:val="1"/>
      <w:marLeft w:val="0"/>
      <w:marRight w:val="0"/>
      <w:marTop w:val="0"/>
      <w:marBottom w:val="0"/>
      <w:divBdr>
        <w:top w:val="none" w:sz="0" w:space="0" w:color="auto"/>
        <w:left w:val="none" w:sz="0" w:space="0" w:color="auto"/>
        <w:bottom w:val="none" w:sz="0" w:space="0" w:color="auto"/>
        <w:right w:val="none" w:sz="0" w:space="0" w:color="auto"/>
      </w:divBdr>
    </w:div>
    <w:div w:id="1035277871">
      <w:bodyDiv w:val="1"/>
      <w:marLeft w:val="0"/>
      <w:marRight w:val="0"/>
      <w:marTop w:val="0"/>
      <w:marBottom w:val="0"/>
      <w:divBdr>
        <w:top w:val="none" w:sz="0" w:space="0" w:color="auto"/>
        <w:left w:val="none" w:sz="0" w:space="0" w:color="auto"/>
        <w:bottom w:val="none" w:sz="0" w:space="0" w:color="auto"/>
        <w:right w:val="none" w:sz="0" w:space="0" w:color="auto"/>
      </w:divBdr>
    </w:div>
    <w:div w:id="1081103631">
      <w:bodyDiv w:val="1"/>
      <w:marLeft w:val="0"/>
      <w:marRight w:val="0"/>
      <w:marTop w:val="0"/>
      <w:marBottom w:val="0"/>
      <w:divBdr>
        <w:top w:val="none" w:sz="0" w:space="0" w:color="auto"/>
        <w:left w:val="none" w:sz="0" w:space="0" w:color="auto"/>
        <w:bottom w:val="none" w:sz="0" w:space="0" w:color="auto"/>
        <w:right w:val="none" w:sz="0" w:space="0" w:color="auto"/>
      </w:divBdr>
    </w:div>
    <w:div w:id="1135948891">
      <w:bodyDiv w:val="1"/>
      <w:marLeft w:val="0"/>
      <w:marRight w:val="0"/>
      <w:marTop w:val="0"/>
      <w:marBottom w:val="0"/>
      <w:divBdr>
        <w:top w:val="none" w:sz="0" w:space="0" w:color="auto"/>
        <w:left w:val="none" w:sz="0" w:space="0" w:color="auto"/>
        <w:bottom w:val="none" w:sz="0" w:space="0" w:color="auto"/>
        <w:right w:val="none" w:sz="0" w:space="0" w:color="auto"/>
      </w:divBdr>
    </w:div>
    <w:div w:id="1305348981">
      <w:bodyDiv w:val="1"/>
      <w:marLeft w:val="0"/>
      <w:marRight w:val="0"/>
      <w:marTop w:val="0"/>
      <w:marBottom w:val="0"/>
      <w:divBdr>
        <w:top w:val="none" w:sz="0" w:space="0" w:color="auto"/>
        <w:left w:val="none" w:sz="0" w:space="0" w:color="auto"/>
        <w:bottom w:val="none" w:sz="0" w:space="0" w:color="auto"/>
        <w:right w:val="none" w:sz="0" w:space="0" w:color="auto"/>
      </w:divBdr>
    </w:div>
    <w:div w:id="1312710713">
      <w:bodyDiv w:val="1"/>
      <w:marLeft w:val="0"/>
      <w:marRight w:val="0"/>
      <w:marTop w:val="0"/>
      <w:marBottom w:val="0"/>
      <w:divBdr>
        <w:top w:val="none" w:sz="0" w:space="0" w:color="auto"/>
        <w:left w:val="none" w:sz="0" w:space="0" w:color="auto"/>
        <w:bottom w:val="none" w:sz="0" w:space="0" w:color="auto"/>
        <w:right w:val="none" w:sz="0" w:space="0" w:color="auto"/>
      </w:divBdr>
    </w:div>
    <w:div w:id="1312714386">
      <w:bodyDiv w:val="1"/>
      <w:marLeft w:val="0"/>
      <w:marRight w:val="0"/>
      <w:marTop w:val="0"/>
      <w:marBottom w:val="0"/>
      <w:divBdr>
        <w:top w:val="none" w:sz="0" w:space="0" w:color="auto"/>
        <w:left w:val="none" w:sz="0" w:space="0" w:color="auto"/>
        <w:bottom w:val="none" w:sz="0" w:space="0" w:color="auto"/>
        <w:right w:val="none" w:sz="0" w:space="0" w:color="auto"/>
      </w:divBdr>
    </w:div>
    <w:div w:id="1317997386">
      <w:bodyDiv w:val="1"/>
      <w:marLeft w:val="0"/>
      <w:marRight w:val="0"/>
      <w:marTop w:val="0"/>
      <w:marBottom w:val="0"/>
      <w:divBdr>
        <w:top w:val="none" w:sz="0" w:space="0" w:color="auto"/>
        <w:left w:val="none" w:sz="0" w:space="0" w:color="auto"/>
        <w:bottom w:val="none" w:sz="0" w:space="0" w:color="auto"/>
        <w:right w:val="none" w:sz="0" w:space="0" w:color="auto"/>
      </w:divBdr>
    </w:div>
    <w:div w:id="1356424065">
      <w:bodyDiv w:val="1"/>
      <w:marLeft w:val="0"/>
      <w:marRight w:val="0"/>
      <w:marTop w:val="0"/>
      <w:marBottom w:val="0"/>
      <w:divBdr>
        <w:top w:val="none" w:sz="0" w:space="0" w:color="auto"/>
        <w:left w:val="none" w:sz="0" w:space="0" w:color="auto"/>
        <w:bottom w:val="none" w:sz="0" w:space="0" w:color="auto"/>
        <w:right w:val="none" w:sz="0" w:space="0" w:color="auto"/>
      </w:divBdr>
    </w:div>
    <w:div w:id="1370177714">
      <w:bodyDiv w:val="1"/>
      <w:marLeft w:val="0"/>
      <w:marRight w:val="0"/>
      <w:marTop w:val="0"/>
      <w:marBottom w:val="0"/>
      <w:divBdr>
        <w:top w:val="none" w:sz="0" w:space="0" w:color="auto"/>
        <w:left w:val="none" w:sz="0" w:space="0" w:color="auto"/>
        <w:bottom w:val="none" w:sz="0" w:space="0" w:color="auto"/>
        <w:right w:val="none" w:sz="0" w:space="0" w:color="auto"/>
      </w:divBdr>
    </w:div>
    <w:div w:id="1398623363">
      <w:bodyDiv w:val="1"/>
      <w:marLeft w:val="0"/>
      <w:marRight w:val="0"/>
      <w:marTop w:val="0"/>
      <w:marBottom w:val="0"/>
      <w:divBdr>
        <w:top w:val="none" w:sz="0" w:space="0" w:color="auto"/>
        <w:left w:val="none" w:sz="0" w:space="0" w:color="auto"/>
        <w:bottom w:val="none" w:sz="0" w:space="0" w:color="auto"/>
        <w:right w:val="none" w:sz="0" w:space="0" w:color="auto"/>
      </w:divBdr>
    </w:div>
    <w:div w:id="1460220088">
      <w:bodyDiv w:val="1"/>
      <w:marLeft w:val="0"/>
      <w:marRight w:val="0"/>
      <w:marTop w:val="0"/>
      <w:marBottom w:val="0"/>
      <w:divBdr>
        <w:top w:val="none" w:sz="0" w:space="0" w:color="auto"/>
        <w:left w:val="none" w:sz="0" w:space="0" w:color="auto"/>
        <w:bottom w:val="none" w:sz="0" w:space="0" w:color="auto"/>
        <w:right w:val="none" w:sz="0" w:space="0" w:color="auto"/>
      </w:divBdr>
    </w:div>
    <w:div w:id="1497846857">
      <w:bodyDiv w:val="1"/>
      <w:marLeft w:val="0"/>
      <w:marRight w:val="0"/>
      <w:marTop w:val="0"/>
      <w:marBottom w:val="0"/>
      <w:divBdr>
        <w:top w:val="none" w:sz="0" w:space="0" w:color="auto"/>
        <w:left w:val="none" w:sz="0" w:space="0" w:color="auto"/>
        <w:bottom w:val="none" w:sz="0" w:space="0" w:color="auto"/>
        <w:right w:val="none" w:sz="0" w:space="0" w:color="auto"/>
      </w:divBdr>
    </w:div>
    <w:div w:id="1520393260">
      <w:bodyDiv w:val="1"/>
      <w:marLeft w:val="0"/>
      <w:marRight w:val="0"/>
      <w:marTop w:val="0"/>
      <w:marBottom w:val="0"/>
      <w:divBdr>
        <w:top w:val="none" w:sz="0" w:space="0" w:color="auto"/>
        <w:left w:val="none" w:sz="0" w:space="0" w:color="auto"/>
        <w:bottom w:val="none" w:sz="0" w:space="0" w:color="auto"/>
        <w:right w:val="none" w:sz="0" w:space="0" w:color="auto"/>
      </w:divBdr>
    </w:div>
    <w:div w:id="1522931468">
      <w:bodyDiv w:val="1"/>
      <w:marLeft w:val="0"/>
      <w:marRight w:val="0"/>
      <w:marTop w:val="0"/>
      <w:marBottom w:val="0"/>
      <w:divBdr>
        <w:top w:val="none" w:sz="0" w:space="0" w:color="auto"/>
        <w:left w:val="none" w:sz="0" w:space="0" w:color="auto"/>
        <w:bottom w:val="none" w:sz="0" w:space="0" w:color="auto"/>
        <w:right w:val="none" w:sz="0" w:space="0" w:color="auto"/>
      </w:divBdr>
    </w:div>
    <w:div w:id="1565919088">
      <w:bodyDiv w:val="1"/>
      <w:marLeft w:val="0"/>
      <w:marRight w:val="0"/>
      <w:marTop w:val="0"/>
      <w:marBottom w:val="0"/>
      <w:divBdr>
        <w:top w:val="none" w:sz="0" w:space="0" w:color="auto"/>
        <w:left w:val="none" w:sz="0" w:space="0" w:color="auto"/>
        <w:bottom w:val="none" w:sz="0" w:space="0" w:color="auto"/>
        <w:right w:val="none" w:sz="0" w:space="0" w:color="auto"/>
      </w:divBdr>
    </w:div>
    <w:div w:id="1644770822">
      <w:bodyDiv w:val="1"/>
      <w:marLeft w:val="0"/>
      <w:marRight w:val="0"/>
      <w:marTop w:val="0"/>
      <w:marBottom w:val="0"/>
      <w:divBdr>
        <w:top w:val="none" w:sz="0" w:space="0" w:color="auto"/>
        <w:left w:val="none" w:sz="0" w:space="0" w:color="auto"/>
        <w:bottom w:val="none" w:sz="0" w:space="0" w:color="auto"/>
        <w:right w:val="none" w:sz="0" w:space="0" w:color="auto"/>
      </w:divBdr>
    </w:div>
    <w:div w:id="1676763924">
      <w:bodyDiv w:val="1"/>
      <w:marLeft w:val="0"/>
      <w:marRight w:val="0"/>
      <w:marTop w:val="0"/>
      <w:marBottom w:val="0"/>
      <w:divBdr>
        <w:top w:val="none" w:sz="0" w:space="0" w:color="auto"/>
        <w:left w:val="none" w:sz="0" w:space="0" w:color="auto"/>
        <w:bottom w:val="none" w:sz="0" w:space="0" w:color="auto"/>
        <w:right w:val="none" w:sz="0" w:space="0" w:color="auto"/>
      </w:divBdr>
    </w:div>
    <w:div w:id="1691295813">
      <w:bodyDiv w:val="1"/>
      <w:marLeft w:val="0"/>
      <w:marRight w:val="0"/>
      <w:marTop w:val="0"/>
      <w:marBottom w:val="0"/>
      <w:divBdr>
        <w:top w:val="none" w:sz="0" w:space="0" w:color="auto"/>
        <w:left w:val="none" w:sz="0" w:space="0" w:color="auto"/>
        <w:bottom w:val="none" w:sz="0" w:space="0" w:color="auto"/>
        <w:right w:val="none" w:sz="0" w:space="0" w:color="auto"/>
      </w:divBdr>
    </w:div>
    <w:div w:id="1700004234">
      <w:bodyDiv w:val="1"/>
      <w:marLeft w:val="0"/>
      <w:marRight w:val="0"/>
      <w:marTop w:val="0"/>
      <w:marBottom w:val="0"/>
      <w:divBdr>
        <w:top w:val="none" w:sz="0" w:space="0" w:color="auto"/>
        <w:left w:val="none" w:sz="0" w:space="0" w:color="auto"/>
        <w:bottom w:val="none" w:sz="0" w:space="0" w:color="auto"/>
        <w:right w:val="none" w:sz="0" w:space="0" w:color="auto"/>
      </w:divBdr>
    </w:div>
    <w:div w:id="1777559543">
      <w:bodyDiv w:val="1"/>
      <w:marLeft w:val="0"/>
      <w:marRight w:val="0"/>
      <w:marTop w:val="0"/>
      <w:marBottom w:val="0"/>
      <w:divBdr>
        <w:top w:val="none" w:sz="0" w:space="0" w:color="auto"/>
        <w:left w:val="none" w:sz="0" w:space="0" w:color="auto"/>
        <w:bottom w:val="none" w:sz="0" w:space="0" w:color="auto"/>
        <w:right w:val="none" w:sz="0" w:space="0" w:color="auto"/>
      </w:divBdr>
    </w:div>
    <w:div w:id="1849754257">
      <w:bodyDiv w:val="1"/>
      <w:marLeft w:val="0"/>
      <w:marRight w:val="0"/>
      <w:marTop w:val="0"/>
      <w:marBottom w:val="0"/>
      <w:divBdr>
        <w:top w:val="none" w:sz="0" w:space="0" w:color="auto"/>
        <w:left w:val="none" w:sz="0" w:space="0" w:color="auto"/>
        <w:bottom w:val="none" w:sz="0" w:space="0" w:color="auto"/>
        <w:right w:val="none" w:sz="0" w:space="0" w:color="auto"/>
      </w:divBdr>
    </w:div>
    <w:div w:id="1852407578">
      <w:bodyDiv w:val="1"/>
      <w:marLeft w:val="0"/>
      <w:marRight w:val="0"/>
      <w:marTop w:val="0"/>
      <w:marBottom w:val="0"/>
      <w:divBdr>
        <w:top w:val="none" w:sz="0" w:space="0" w:color="auto"/>
        <w:left w:val="none" w:sz="0" w:space="0" w:color="auto"/>
        <w:bottom w:val="none" w:sz="0" w:space="0" w:color="auto"/>
        <w:right w:val="none" w:sz="0" w:space="0" w:color="auto"/>
      </w:divBdr>
    </w:div>
    <w:div w:id="1877310602">
      <w:bodyDiv w:val="1"/>
      <w:marLeft w:val="0"/>
      <w:marRight w:val="0"/>
      <w:marTop w:val="0"/>
      <w:marBottom w:val="0"/>
      <w:divBdr>
        <w:top w:val="none" w:sz="0" w:space="0" w:color="auto"/>
        <w:left w:val="none" w:sz="0" w:space="0" w:color="auto"/>
        <w:bottom w:val="none" w:sz="0" w:space="0" w:color="auto"/>
        <w:right w:val="none" w:sz="0" w:space="0" w:color="auto"/>
      </w:divBdr>
    </w:div>
    <w:div w:id="1880388840">
      <w:bodyDiv w:val="1"/>
      <w:marLeft w:val="0"/>
      <w:marRight w:val="0"/>
      <w:marTop w:val="0"/>
      <w:marBottom w:val="0"/>
      <w:divBdr>
        <w:top w:val="none" w:sz="0" w:space="0" w:color="auto"/>
        <w:left w:val="none" w:sz="0" w:space="0" w:color="auto"/>
        <w:bottom w:val="none" w:sz="0" w:space="0" w:color="auto"/>
        <w:right w:val="none" w:sz="0" w:space="0" w:color="auto"/>
      </w:divBdr>
    </w:div>
    <w:div w:id="1913003472">
      <w:bodyDiv w:val="1"/>
      <w:marLeft w:val="0"/>
      <w:marRight w:val="0"/>
      <w:marTop w:val="0"/>
      <w:marBottom w:val="0"/>
      <w:divBdr>
        <w:top w:val="none" w:sz="0" w:space="0" w:color="auto"/>
        <w:left w:val="none" w:sz="0" w:space="0" w:color="auto"/>
        <w:bottom w:val="none" w:sz="0" w:space="0" w:color="auto"/>
        <w:right w:val="none" w:sz="0" w:space="0" w:color="auto"/>
      </w:divBdr>
    </w:div>
    <w:div w:id="1922517343">
      <w:bodyDiv w:val="1"/>
      <w:marLeft w:val="0"/>
      <w:marRight w:val="0"/>
      <w:marTop w:val="0"/>
      <w:marBottom w:val="0"/>
      <w:divBdr>
        <w:top w:val="none" w:sz="0" w:space="0" w:color="auto"/>
        <w:left w:val="none" w:sz="0" w:space="0" w:color="auto"/>
        <w:bottom w:val="none" w:sz="0" w:space="0" w:color="auto"/>
        <w:right w:val="none" w:sz="0" w:space="0" w:color="auto"/>
      </w:divBdr>
    </w:div>
    <w:div w:id="1960211485">
      <w:bodyDiv w:val="1"/>
      <w:marLeft w:val="0"/>
      <w:marRight w:val="0"/>
      <w:marTop w:val="0"/>
      <w:marBottom w:val="0"/>
      <w:divBdr>
        <w:top w:val="none" w:sz="0" w:space="0" w:color="auto"/>
        <w:left w:val="none" w:sz="0" w:space="0" w:color="auto"/>
        <w:bottom w:val="none" w:sz="0" w:space="0" w:color="auto"/>
        <w:right w:val="none" w:sz="0" w:space="0" w:color="auto"/>
      </w:divBdr>
    </w:div>
    <w:div w:id="2022120614">
      <w:bodyDiv w:val="1"/>
      <w:marLeft w:val="0"/>
      <w:marRight w:val="0"/>
      <w:marTop w:val="0"/>
      <w:marBottom w:val="0"/>
      <w:divBdr>
        <w:top w:val="none" w:sz="0" w:space="0" w:color="auto"/>
        <w:left w:val="none" w:sz="0" w:space="0" w:color="auto"/>
        <w:bottom w:val="none" w:sz="0" w:space="0" w:color="auto"/>
        <w:right w:val="none" w:sz="0" w:space="0" w:color="auto"/>
      </w:divBdr>
    </w:div>
    <w:div w:id="2035306049">
      <w:bodyDiv w:val="1"/>
      <w:marLeft w:val="0"/>
      <w:marRight w:val="0"/>
      <w:marTop w:val="0"/>
      <w:marBottom w:val="0"/>
      <w:divBdr>
        <w:top w:val="none" w:sz="0" w:space="0" w:color="auto"/>
        <w:left w:val="none" w:sz="0" w:space="0" w:color="auto"/>
        <w:bottom w:val="none" w:sz="0" w:space="0" w:color="auto"/>
        <w:right w:val="none" w:sz="0" w:space="0" w:color="auto"/>
      </w:divBdr>
    </w:div>
    <w:div w:id="2077195129">
      <w:bodyDiv w:val="1"/>
      <w:marLeft w:val="0"/>
      <w:marRight w:val="0"/>
      <w:marTop w:val="0"/>
      <w:marBottom w:val="0"/>
      <w:divBdr>
        <w:top w:val="none" w:sz="0" w:space="0" w:color="auto"/>
        <w:left w:val="none" w:sz="0" w:space="0" w:color="auto"/>
        <w:bottom w:val="none" w:sz="0" w:space="0" w:color="auto"/>
        <w:right w:val="none" w:sz="0" w:space="0" w:color="auto"/>
      </w:divBdr>
    </w:div>
    <w:div w:id="20784744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URI="http://schemas.openxmlformats.org/bibliographicStyle/APA">
  <b:Source>
    <b:Tag>Taormina2018</b:Tag>
    <b:SourceType>JournalArticle</b:SourceType>
    <b:Guid>{D26A9954-B962-4DA2-B981-9C7C8C2D1A01}</b:Guid>
    <b:LCID>en-US</b:LCID>
    <b:Author>
      <b:Author>
        <b:NameList>
          <b:Person>
            <b:Last>Taormina</b:Last>
            <b:First>Riccardo</b:First>
          </b:Person>
          <b:Person>
            <b:Last>Galelli</b:Last>
            <b:First>Stefano</b:First>
          </b:Person>
          <b:Person>
            <b:Last>Tippenhauer</b:Last>
            <b:First>Nils Ole</b:First>
          </b:Person>
          <b:Person>
            <b:Last>Salomons</b:Last>
            <b:First>Elad</b:First>
          </b:Person>
          <b:Person>
            <b:Last>Ostfeld</b:Last>
            <b:First>Avi</b:First>
          </b:Person>
          <b:Person>
            <b:Last>Eliades</b:Last>
            <b:First>Demetrios G.</b:First>
          </b:Person>
        </b:NameList>
      </b:Author>
    </b:Author>
    <b:Title>Battle of the Attack Detection Algorithms: Disclosing Cyber Attacks on Water Distribution Networks</b:Title>
    <b:Year>2018</b:Year>
    <b:JournalName>Journal of Water Resources Planning and Management</b:JournalName>
    <b:Volume>144</b:Volume>
    <b:Issue>8</b:Issue>
    <b:Pages>04018048</b:Pages>
    <b:URL>https://doi.org/10.1061/(ASCE)WR.1943-5452.0000969</b:URL>
    <b:RefOrder>1</b:RefOrder>
  </b:Source>
  <b:Source>
    <b:Tag>Housh2018</b:Tag>
    <b:SourceType>JournalArticle</b:SourceType>
    <b:Guid>{D26A9954-B962-4DA2-B981-9C7C8C2D1A02}</b:Guid>
    <b:LCID>en-US</b:LCID>
    <b:Author>
      <b:Author>
        <b:NameList>
          <b:Person>
            <b:Last>Housh</b:Last>
            <b:First>Mashor</b:First>
          </b:Person>
          <b:Person>
            <b:Last>Ohar</b:Last>
            <b:First>Ziv</b:First>
          </b:Person>
        </b:NameList>
      </b:Author>
    </b:Author>
    <b:Title>Model-based approach for cyber-physical attack detection in water distribution systems</b:Title>
    <b:Year>2018</b:Year>
    <b:JournalName>Water Research</b:JournalName>
    <b:Volume>139</b:Volume>
    <b:Pages>132-143</b:Pages>
    <b:URL>https://doi.org/10.1016/j.watres.2018.03.039</b:URL>
    <b:RefOrder>2</b:RefOrder>
  </b:Source>
  <b:Source>
    <b:Tag>Abokifa2019</b:Tag>
    <b:SourceType>JournalArticle</b:SourceType>
    <b:Guid>{D26A9954-B962-4DA2-B981-9C7C8C2D1A03}</b:Guid>
    <b:LCID>en-US</b:LCID>
    <b:Author>
      <b:Author>
        <b:NameList>
          <b:Person>
            <b:Last>Abokifa</b:Last>
            <b:First>Ahmed A.</b:First>
          </b:Person>
          <b:Person>
            <b:Last>Haddad</b:Last>
            <b:First>Kelsey</b:First>
          </b:Person>
          <b:Person>
            <b:Last>Lo</b:Last>
            <b:First>Cynthia S.</b:First>
          </b:Person>
          <b:Person>
            <b:Last>Biswas</b:Last>
            <b:First>Pratim</b:First>
          </b:Person>
        </b:NameList>
      </b:Author>
    </b:Author>
    <b:Title>Real-Time Identification of Cyber-Physical Attacks on Water Distribution Systems via Machine Learning-Based Anomaly Detection Techniques</b:Title>
    <b:Year>2019</b:Year>
    <b:JournalName>Journal of Water Resources Planning and Management</b:JournalName>
    <b:Volume>145</b:Volume>
    <b:Issue>1</b:Issue>
    <b:Pages>04018089</b:Pages>
    <b:URL>https://doi.org/10.1061/(ASCE)WR.1943-5452.0001023</b:URL>
    <b:RefOrder>3</b:RefOrder>
  </b:Source>
  <b:Source>
    <b:Tag>Ramotsoela2019</b:Tag>
    <b:SourceType>JournalArticle</b:SourceType>
    <b:Guid>{D26A9954-B962-4DA2-B981-9C7C8C2D1A04}</b:Guid>
    <b:LCID>en-US</b:LCID>
    <b:Author>
      <b:Author>
        <b:NameList>
          <b:Person>
            <b:Last>Ramotsoela</b:Last>
            <b:First>Daniel T.</b:First>
          </b:Person>
          <b:Person>
            <b:Last>Hancke</b:Last>
            <b:First>Gerhard P.</b:First>
          </b:Person>
          <b:Person>
            <b:Last>Abu-Mahfouz</b:Last>
            <b:First>Adnan M.</b:First>
          </b:Person>
        </b:NameList>
      </b:Author>
    </b:Author>
    <b:Title>Attack detection in water distribution systems using machine learning</b:Title>
    <b:Year>2019</b:Year>
    <b:JournalName>Human-centric Computing and Information Sciences</b:JournalName>
    <b:Volume>9</b:Volume>
    <b:Pages>13</b:Pages>
    <b:URL>https://doi.org/10.1186/s13673-019-0175-8</b:URL>
    <b:RefOrder>4</b:RefOrder>
  </b:Source>
  <b:Source>
    <b:Tag>RamsaySilverman2005</b:Tag>
    <b:SourceType>Book</b:SourceType>
    <b:Guid>{D26A9954-B962-4DA2-B981-9C7C8C2D1A05}</b:Guid>
    <b:LCID>en-US</b:LCID>
    <b:Author>
      <b:Author>
        <b:NameList>
          <b:Person>
            <b:Last>Ramsay</b:Last>
            <b:First>James O.</b:First>
          </b:Person>
          <b:Person>
            <b:Last>Silverman</b:Last>
            <b:First>Bernard W.</b:First>
          </b:Person>
        </b:NameList>
      </b:Author>
    </b:Author>
    <b:Title>Functional Data Analysis</b:Title>
    <b:Year>2005</b:Year>
    <b:City>New York</b:City>
    <b:Publisher>Springer</b:Publisher>
    <b:Edition>2</b:Edition>
    <b:StandardNumber>978-0-387-40080-8</b:StandardNumber>
    <b:URL>https://doi.org/10.1007/b98888</b:URL>
    <b:RefOrder>5</b:RefOrder>
  </b:Source>
  <b:Source>
    <b:Tag>HappGreven2018</b:Tag>
    <b:SourceType>JournalArticle</b:SourceType>
    <b:Guid>{D26A9954-B962-4DA2-B981-9C7C8C2D1A06}</b:Guid>
    <b:LCID>en-US</b:LCID>
    <b:Author>
      <b:Author>
        <b:NameList>
          <b:Person>
            <b:Last>Happ</b:Last>
            <b:First>Clara</b:First>
          </b:Person>
          <b:Person>
            <b:Last>Greven</b:Last>
            <b:First>Sonja</b:First>
          </b:Person>
        </b:NameList>
      </b:Author>
    </b:Author>
    <b:Title>Multivariate Functional Principal Component Analysis for Data Observed on Different (Dimensional) Domains</b:Title>
    <b:Year>2018</b:Year>
    <b:JournalName>Journal of the American Statistical Association</b:JournalName>
    <b:Volume>113</b:Volume>
    <b:Issue>522</b:Issue>
    <b:Pages>649-659</b:Pages>
    <b:URL>https://doi.org/10.1080/01621459.2016.1273115</b:URL>
    <b:RefOrder>6</b:RefOrder>
  </b:Source>
  <b:Source>
    <b:Tag>FebreroBande2012</b:Tag>
    <b:SourceType>JournalArticle</b:SourceType>
    <b:Guid>{A1B2C3D4-0001-4F00-9000-000000000001}</b:Guid>
    <b:LCID>en-US</b:LCID>
    <b:Author>
      <b:Author>
        <b:NameList>
          <b:Person>
            <b:Last>Febrero-Bande</b:Last>
            <b:First>Manuel</b:First>
          </b:Person>
          <b:Person>
            <b:Last>Oviedo de la Fuente</b:Last>
            <b:First>Manuel</b:First>
          </b:Person>
        </b:NameList>
      </b:Author>
    </b:Author>
    <b:Title>Statistical Computing in Functional Data Analysis: The R Package fda.usc</b:Title>
    <b:Year>2012</b:Year>
    <b:JournalName>Journal of Statistical Software</b:JournalName>
    <b:Volume>51</b:Volume>
    <b:Issue>4</b:Issue>
    <b:Pages>1-28</b:Pages>
    <b:URL>https://doi.org/10.18637/jss.v051.i04</b:URL>
    <b:RefOrder>12</b:RefOrder>
  </b:Source>
  <b:Source>
    <b:Tag>FraimanMuniz2001</b:Tag>
    <b:SourceType>JournalArticle</b:SourceType>
    <b:Guid>{A1B2C3D4-0002-4F00-9000-000000000002}</b:Guid>
    <b:LCID>en-US</b:LCID>
    <b:Author>
      <b:Author>
        <b:NameList>
          <b:Person>
            <b:Last>Fraiman</b:Last>
            <b:First>Ricardo</b:First>
          </b:Person>
          <b:Person>
            <b:Last>Muniz</b:Last>
            <b:First>Graciela</b:First>
          </b:Person>
        </b:NameList>
      </b:Author>
    </b:Author>
    <b:Title>Trimmed means for functional data</b:Title>
    <b:Year>2001</b:Year>
    <b:JournalName>TEST</b:JournalName>
    <b:Volume>10</b:Volume>
    <b:Issue>2</b:Issue>
    <b:Pages>419-440</b:Pages>
    <b:URL>https://doi.org/10.1007/BF02595706</b:URL>
    <b:RefOrder>8</b:RefOrder>
  </b:Source>
  <b:Source>
    <b:Tag>Flores2020</b:Tag>
    <b:SourceType>JournalArticle</b:SourceType>
    <b:Guid>{A1B2C3D4-0003-4F00-9000-000000000003}</b:Guid>
    <b:LCID>en-US</b:LCID>
    <b:Author>
      <b:Author>
        <b:NameList>
          <b:Person>
            <b:Last>Flores</b:Last>
            <b:First>Miguel</b:First>
          </b:Person>
          <b:Person>
            <b:Last>Naya</b:Last>
            <b:First>Salvador</b:First>
          </b:Person>
          <b:Person>
            <b:Last>Fernández-Casal</b:Last>
            <b:First>Rubén</b:First>
          </b:Person>
          <b:Person>
            <b:Last>Zaragoza</b:Last>
            <b:First>Sonia</b:First>
          </b:Person>
          <b:Person>
            <b:Last>Raña</b:Last>
            <b:First>Paula</b:First>
          </b:Person>
          <b:Person>
            <b:Last>Tarrío-Saavedra</b:Last>
            <b:First>Javier</b:First>
          </b:Person>
        </b:NameList>
      </b:Author>
    </b:Author>
    <b:Title>Constructing a Control Chart Using Functional Data</b:Title>
    <b:Year>2020</b:Year>
    <b:JournalName>Mathematics</b:JournalName>
    <b:Volume>8</b:Volume>
    <b:Issue>1</b:Issue>
    <b:Pages>58</b:Pages>
    <b:URL>https://doi.org/10.3390/math8010058</b:URL>
    <b:RefOrder>9</b:RefOrder>
  </b:Source>
  <b:Source>
    <b:Tag>JacksonMudholkar1979</b:Tag>
    <b:SourceType>JournalArticle</b:SourceType>
    <b:Guid>{A1B2C3D4-0004-4F00-9000-000000000004}</b:Guid>
    <b:LCID>en-US</b:LCID>
    <b:Author>
      <b:Author>
        <b:NameList>
          <b:Person>
            <b:Last>Jackson</b:Last>
            <b:First>J. Edward</b:First>
          </b:Person>
          <b:Person>
            <b:Last>Mudholkar</b:Last>
            <b:First>Govind S.</b:First>
          </b:Person>
        </b:NameList>
      </b:Author>
    </b:Author>
    <b:Title>Control Procedures for Residuals Associated With Principal Component Analysis</b:Title>
    <b:Year>1979</b:Year>
    <b:JournalName>Technometrics</b:JournalName>
    <b:Volume>21</b:Volume>
    <b:Issue>3</b:Issue>
    <b:Pages>341-349</b:Pages>
    <b:URL>https://doi.org/10.1080/00401706.1979.10489779</b:URL>
    <b:RefOrder>13</b:RefOrder>
  </b:Source>
  <b:Source>
    <b:Tag>Qin2003</b:Tag>
    <b:SourceType>JournalArticle</b:SourceType>
    <b:Guid>{A1B2C3D4-0005-4F00-9000-000000000005}</b:Guid>
    <b:LCID>en-US</b:LCID>
    <b:Author>
      <b:Author>
        <b:NameList>
          <b:Person>
            <b:Last>Qin</b:Last>
            <b:First>S. Joe</b:First>
          </b:Person>
        </b:NameList>
      </b:Author>
    </b:Author>
    <b:Title>Statistical process monitoring: basics and beyond</b:Title>
    <b:Year>2003</b:Year>
    <b:JournalName>Journal of Chemometrics</b:JournalName>
    <b:Volume>17</b:Volume>
    <b:Issue>8-9</b:Issue>
    <b:Pages>480-502</b:Pages>
    <b:URL>https://doi.org/10.1002/cem.800</b:URL>
    <b:RefOrder>7</b:RefOrder>
  </b:Source>
  <b:Source>
    <b:Tag>Ahmed2017</b:Tag>
    <b:SourceType>ConferenceProceedings</b:SourceType>
    <b:Guid>{A1B2C3D4-0006-4F00-9000-000000000006}</b:Guid>
    <b:LCID>en-US</b:LCID>
    <b:Author>
      <b:Author>
        <b:NameList>
          <b:Person>
            <b:Last>Ahmed</b:Last>
            <b:First>Chuadhry Mujeeb</b:First>
          </b:Person>
          <b:Person>
            <b:Last>Palleti</b:Last>
            <b:First>Venkata Reddy</b:First>
          </b:Person>
          <b:Person>
            <b:Last>Mathur</b:Last>
            <b:First>Aditya P.</b:First>
          </b:Person>
        </b:NameList>
      </b:Author>
    </b:Author>
    <b:Title>WADI: A Water Distribution Testbed for Research in the Design of Secure Cyber Physical Systems</b:Title>
    <b:Year>2017</b:Year>
    <b:ConferenceName>3rd International Workshop on Cyber-Physical Systems for Smart Water Networks (CySWATER)</b:ConferenceName>
    <b:Pages>25-28</b:Pages>
    <b:Publisher>ACM</b:Publisher>
    <b:URL>https://doi.org/10.1145/3055366.3055375</b:URL>
    <b:RefOrder>14</b:RefOrder>
  </b:Source>
  <b:Source>
    <b:Tag>Vrachimis2018</b:Tag>
    <b:SourceType>ConferenceProceedings</b:SourceType>
    <b:Guid>{A1B2C3D4-0007-4F00-9000-000000000007}</b:Guid>
    <b:LCID>en-US</b:LCID>
    <b:Author>
      <b:Author>
        <b:NameList>
          <b:Person>
            <b:Last>Vrachimis</b:Last>
            <b:First>Stelios G.</b:First>
          </b:Person>
          <b:Person>
            <b:Last>Kyriakou</b:Last>
            <b:First>Marios S.</b:First>
          </b:Person>
          <b:Person>
            <b:Last>Eliades</b:Last>
            <b:First>Demetrios G.</b:First>
          </b:Person>
          <b:Person>
            <b:Last>Polycarpou</b:Last>
            <b:First>Marios M.</b:First>
          </b:Person>
        </b:NameList>
      </b:Author>
    </b:Author>
    <b:Title>LeakDB: A Benchmark Dataset for Leakage Diagnosis in Water Distribution Networks</b:Title>
    <b:Year>2018</b:Year>
    <b:ConferenceName>1st International WDSA / CCWI Joint Conference</b:ConferenceName>
    <b:Publisher>WDSA/CCWI</b:Publisher>
    <b:URL>https://doi.org/10.5281/zenodo.1313116</b:URL>
    <b:RefOrder>15</b:RefOrder>
  </b:Source>
  <b:Source>
    <b:Tag>Flores2018</b:Tag>
    <b:SourceType>JournalArticle</b:SourceType>
    <b:Guid>{E040DBCD-C8B0-4595-B054-CF60F94AAA96}</b:Guid>
    <b:LCID>en-US</b:LCID>
    <b:Author>
      <b:Author>
        <b:NameList>
          <b:Person>
            <b:Last>Flores</b:Last>
            <b:First>Miguel</b:First>
          </b:Person>
          <b:Person>
            <b:Last>Tarrío-Saavedra</b:Last>
            <b:First>Javier</b:First>
          </b:Person>
          <b:Person>
            <b:Last>Fernández-Casal</b:Last>
            <b:First>Rubén</b:First>
          </b:Person>
          <b:Person>
            <b:Last>Naya</b:Last>
            <b:First>Salvador</b:First>
          </b:Person>
        </b:NameList>
      </b:Author>
    </b:Author>
    <b:Title>Functional extensions of Mandel's h and k statistics for outlier detection in interlaboratory studies</b:Title>
    <b:Year>2018</b:Year>
    <b:JournalName>Chemometrics and Intelligent Laboratory Systems</b:JournalName>
    <b:Volume>176</b:Volume>
    <b:Issue/>
    <b:Pages>134–148</b:Pages>
    <b:URL>https://doi.org/10.1016/j.chemolab.2018.03.016</b:URL>
    <b:RefOrder>10</b:RefOrder>
  </b:Source>
  <b:Source>
    <b:Tag>Flores2021</b:Tag>
    <b:SourceType>JournalArticle</b:SourceType>
    <b:Guid>{BE531A39-CA2D-40B8-84F7-24E163D8D5F7}</b:Guid>
    <b:LCID>en-US</b:LCID>
    <b:Author>
      <b:Author>
        <b:NameList>
          <b:Person>
            <b:Last>Flores</b:Last>
            <b:First>Miguel</b:First>
          </b:Person>
          <b:Person>
            <b:Last>Fernández-Casal</b:Last>
            <b:First>Rubén</b:First>
          </b:Person>
          <b:Person>
            <b:Last>Naya</b:Last>
            <b:First>Salvador</b:First>
          </b:Person>
          <b:Person>
            <b:Last>Tarrío-Saavedra</b:Last>
            <b:First>Javier</b:First>
          </b:Person>
        </b:NameList>
      </b:Author>
    </b:Author>
    <b:Title>Statistical Quality Control with the qcr Package</b:Title>
    <b:Year>2021</b:Year>
    <b:JournalName>The R Journal</b:JournalName>
    <b:Volume>13</b:Volume>
    <b:Issue>1</b:Issue>
    <b:Pages>194–217</b:Pages>
    <b:URL>https://doi.org/10.32614/RJ-2021-034</b:URL>
    <b:RefOrder>11</b:RefOrder>
  </b:Source>
</b:Sources>
</file>

<file path=customXml/itemProps1.xml><?xml version="1.0" encoding="utf-8"?>
<ds:datastoreItem xmlns:ds="http://schemas.openxmlformats.org/officeDocument/2006/customXml" ds:itemID="{AF9AA7A1-C2F8-45AF-B060-ADE11A7FA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15</Pages>
  <Words>4930</Words>
  <Characters>27121</Characters>
  <Application>Microsoft Office Word</Application>
  <DocSecurity>0</DocSecurity>
  <Lines>226</Lines>
  <Paragraphs>63</Paragraphs>
  <ScaleCrop>false</ScaleCrop>
  <Company/>
  <LinksUpToDate>false</LinksUpToDate>
  <CharactersWithSpaces>31988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funcional multivariante de anomalías en redes de distribución de agua</dc:title>
  <dc:creator>Alexander Vinicio Yupangui Segovia</dc:creator>
  <cp:keywords/>
  <cp:lastModifiedBy>Alexander Vinicio Yupangui Segovia</cp:lastModifiedBy>
  <cp:revision>2</cp:revision>
  <dcterms:created xsi:type="dcterms:W3CDTF">2026-10-16T20:14:00Z</dcterms:created>
  <dcterms:modified xsi:type="dcterms:W3CDTF">2026-10-16T20:14:00Z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Introducción y metodología reforzadas para revisión del tutor</vt:lpwstr>
  </property>
</Properties>
</file>