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9"/>
          <w:sz w:val="60"/>
        </w:rPr>
        <w:t>POLICYCOMPARE AI</w:t>
      </w:r>
    </w:p>
    <w:p>
      <w:pPr>
        <w:jc w:val="center"/>
      </w:pPr>
      <w:r>
        <w:rPr>
          <w:sz w:val="36"/>
        </w:rPr>
        <w:t>Plataforma Inteligente para Análise e Comparação de Apólices</w:t>
      </w:r>
    </w:p>
    <w:p>
      <w:pPr>
        <w:spacing w:before="400"/>
        <w:jc w:val="center"/>
      </w:pPr>
      <w:r>
        <w:rPr>
          <w:b/>
          <w:sz w:val="30"/>
        </w:rPr>
        <w:t>Relatório Técnico - MVP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/>
        <w:jc w:val="center"/>
      </w:pPr>
      <w:r>
        <w:rPr>
          <w:i/>
        </w:rPr>
        <w:t>Versão de demonstração - Outubro de 2026</w:t>
      </w:r>
    </w:p>
    <w:p>
      <w:r>
        <w:br w:type="page"/>
      </w:r>
    </w:p>
    <w:p>
      <w:pPr>
        <w:pStyle w:val="Heading1"/>
        <w:spacing w:before="200" w:after="100"/>
      </w:pPr>
      <w:r>
        <w:t>1. Resumo executivo</w:t>
      </w:r>
    </w:p>
    <w:p>
      <w:r>
        <w:t>O PolicyCompare AI é um MVP local para automatizar etapas repetitivas da leitura e comparação de apólices de seguro. A solução recebe documentos em PDF ou imagem, extrai o conteúdo, identifica informações relevantes por meio de IA Generativa, estrutura os resultados em um modelo canônico, persiste os dados e compara duas apólices apresentando diferenças e evidências de origem.</w:t>
      </w:r>
    </w:p>
    <w:p>
      <w:r>
        <w:t>A arquitetura foi desenhada como um fluxo multiagente. Cada componente possui uma responsabilidade explícita, reduzindo acoplamento e permitindo substituir OCR, modelo de linguagem, banco ou mecanismo de recuperação sem reescrever todo o sistema. O princípio adotado é: IA interpreta; código valida e compara determinísticamente sempre que possível.</w:t>
      </w:r>
    </w:p>
    <w:p>
      <w:pPr>
        <w:pStyle w:val="ListBullet"/>
      </w:pPr>
      <w:r>
        <w:t>Leitura de PDF e imagens, com OCR gratuito como fallback.</w:t>
      </w:r>
    </w:p>
    <w:p>
      <w:pPr>
        <w:pStyle w:val="ListBullet"/>
      </w:pPr>
      <w:r>
        <w:t>Uso de LLM local via Ollama, evitando dependência obrigatória de APIs pagas.</w:t>
      </w:r>
    </w:p>
    <w:p>
      <w:pPr>
        <w:pStyle w:val="ListBullet"/>
      </w:pPr>
      <w:r>
        <w:t>Saída estruturada validada por JSON Schema/Pydantic.</w:t>
      </w:r>
    </w:p>
    <w:p>
      <w:pPr>
        <w:pStyle w:val="ListBullet"/>
      </w:pPr>
      <w:r>
        <w:t>Rastreabilidade por página, evidência textual e score de confiança.</w:t>
      </w:r>
    </w:p>
    <w:p>
      <w:pPr>
        <w:pStyle w:val="ListBullet"/>
      </w:pPr>
      <w:r>
        <w:t>Comparação A x B com classificação das diferenças.</w:t>
      </w:r>
    </w:p>
    <w:p>
      <w:pPr>
        <w:pStyle w:val="ListBullet"/>
      </w:pPr>
      <w:r>
        <w:t>Interface Streamlit e geração de relatório comparativo em PDF.</w:t>
      </w:r>
    </w:p>
    <w:p>
      <w:pPr>
        <w:pStyle w:val="Heading1"/>
        <w:spacing w:before="200" w:after="100"/>
      </w:pPr>
      <w:r>
        <w:t>2. Problema e objetivo</w:t>
      </w:r>
    </w:p>
    <w:p>
      <w:r>
        <w:t>Apólices são documentos extensos, heterogêneos e frequentemente redigidos em linguagem jurídica. A comparação manual exige localizar coberturas, exclusões, franquias, limites de indenização, vigência e cláusulas especiais em diferentes pontos do documento. O objetivo do projeto é reduzir o tempo gasto nessa leitura, sem eliminar a necessidade de validação de especialistas.</w:t>
      </w:r>
    </w:p>
    <w:p>
      <w:pPr>
        <w:pStyle w:val="Heading2"/>
        <w:spacing w:before="200" w:after="100"/>
      </w:pPr>
      <w:r>
        <w:t>2.1 Escopo do MVP</w:t>
      </w:r>
    </w:p>
    <w:p>
      <w:pPr>
        <w:pStyle w:val="ListBullet"/>
      </w:pPr>
      <w:r>
        <w:t>Receber múltiplos arquivos PDF, PNG, JPG, JPEG, TIFF/TIF.</w:t>
      </w:r>
    </w:p>
    <w:p>
      <w:pPr>
        <w:pStyle w:val="ListBullet"/>
      </w:pPr>
      <w:r>
        <w:t>Extrair texto nativo de PDF e aplicar OCR quando o texto for ausente ou insuficiente.</w:t>
      </w:r>
    </w:p>
    <w:p>
      <w:pPr>
        <w:pStyle w:val="ListBullet"/>
      </w:pPr>
      <w:r>
        <w:t>Identificar dados gerais, coberturas, exclusões e cláusulas especiais.</w:t>
      </w:r>
    </w:p>
    <w:p>
      <w:pPr>
        <w:pStyle w:val="ListBullet"/>
      </w:pPr>
      <w:r>
        <w:t>Persistir o resultado estruturado em SQLite.</w:t>
      </w:r>
    </w:p>
    <w:p>
      <w:pPr>
        <w:pStyle w:val="ListBullet"/>
      </w:pPr>
      <w:r>
        <w:t>Comparar duas apólices e destacar equivalências, diferenças e itens exclusivos.</w:t>
      </w:r>
    </w:p>
    <w:p>
      <w:pPr>
        <w:pStyle w:val="ListBullet"/>
      </w:pPr>
      <w:r>
        <w:t>Exibir evidências e páginas de origem.</w:t>
      </w:r>
    </w:p>
    <w:p>
      <w:pPr>
        <w:pStyle w:val="ListBullet"/>
      </w:pPr>
      <w:r>
        <w:t>Gerar um PDF comparativo para demonstração.</w:t>
      </w:r>
    </w:p>
    <w:p>
      <w:pPr>
        <w:pStyle w:val="Heading1"/>
        <w:spacing w:before="200" w:after="100"/>
      </w:pPr>
      <w:r>
        <w:t>3. Arquitetura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5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1 - Arquitetura lógica do MVP.</w:t>
      </w:r>
    </w:p>
    <w:p>
      <w:pPr>
        <w:pStyle w:val="Heading2"/>
        <w:spacing w:before="200" w:after="100"/>
      </w:pPr>
      <w:r>
        <w:t>3.1 Separação de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2520"/>
            <w:vAlign w:val="top"/>
          </w:tcPr>
          <w:p>
            <w:r>
              <w:t>Intake Agent</w:t>
            </w:r>
          </w:p>
        </w:tc>
        <w:tc>
          <w:tcPr>
            <w:tcW w:type="dxa" w:w="2520"/>
            <w:vAlign w:val="top"/>
          </w:tcPr>
          <w:p>
            <w:r>
              <w:t>Validação de formato, arquivo e identificação por hash.</w:t>
            </w:r>
          </w:p>
        </w:tc>
        <w:tc>
          <w:tcPr>
            <w:tcW w:type="dxa" w:w="2520"/>
            <w:vAlign w:val="top"/>
          </w:tcPr>
          <w:p>
            <w:r>
              <w:t>PDF/Imagem</w:t>
            </w:r>
          </w:p>
        </w:tc>
        <w:tc>
          <w:tcPr>
            <w:tcW w:type="dxa" w:w="2520"/>
            <w:vAlign w:val="top"/>
          </w:tcPr>
          <w:p>
            <w:r>
              <w:t>document_id</w:t>
            </w:r>
          </w:p>
        </w:tc>
      </w:tr>
      <w:tr>
        <w:tc>
          <w:tcPr>
            <w:tcW w:type="dxa" w:w="2520"/>
            <w:vAlign w:val="top"/>
          </w:tcPr>
          <w:p>
            <w:r>
              <w:t>Extraction Agent</w:t>
            </w:r>
          </w:p>
        </w:tc>
        <w:tc>
          <w:tcPr>
            <w:tcW w:type="dxa" w:w="2520"/>
            <w:vAlign w:val="top"/>
          </w:tcPr>
          <w:p>
            <w:r>
              <w:t>Extração de texto e OCR de páginas digitalizadas.</w:t>
            </w:r>
          </w:p>
        </w:tc>
        <w:tc>
          <w:tcPr>
            <w:tcW w:type="dxa" w:w="2520"/>
            <w:vAlign w:val="top"/>
          </w:tcPr>
          <w:p>
            <w:r>
              <w:t>Documento</w:t>
            </w:r>
          </w:p>
        </w:tc>
        <w:tc>
          <w:tcPr>
            <w:tcW w:type="dxa" w:w="2520"/>
            <w:vAlign w:val="top"/>
          </w:tcPr>
          <w:p>
            <w:r>
              <w:t>Texto por página</w:t>
            </w:r>
          </w:p>
        </w:tc>
      </w:tr>
      <w:tr>
        <w:tc>
          <w:tcPr>
            <w:tcW w:type="dxa" w:w="2520"/>
            <w:vAlign w:val="top"/>
          </w:tcPr>
          <w:p>
            <w:r>
              <w:t>Chunking/Recovery</w:t>
            </w:r>
          </w:p>
        </w:tc>
        <w:tc>
          <w:tcPr>
            <w:tcW w:type="dxa" w:w="2520"/>
            <w:vAlign w:val="top"/>
          </w:tcPr>
          <w:p>
            <w:r>
              <w:t>Divisão do texto e seleção de trechos relevantes.</w:t>
            </w:r>
          </w:p>
        </w:tc>
        <w:tc>
          <w:tcPr>
            <w:tcW w:type="dxa" w:w="2520"/>
            <w:vAlign w:val="top"/>
          </w:tcPr>
          <w:p>
            <w:r>
              <w:t>Texto</w:t>
            </w:r>
          </w:p>
        </w:tc>
        <w:tc>
          <w:tcPr>
            <w:tcW w:type="dxa" w:w="2520"/>
            <w:vAlign w:val="top"/>
          </w:tcPr>
          <w:p>
            <w:r>
              <w:t>Chunks ranqueados</w:t>
            </w:r>
          </w:p>
        </w:tc>
      </w:tr>
      <w:tr>
        <w:tc>
          <w:tcPr>
            <w:tcW w:type="dxa" w:w="2520"/>
            <w:vAlign w:val="top"/>
          </w:tcPr>
          <w:p>
            <w:r>
              <w:t>Clause Agent</w:t>
            </w:r>
          </w:p>
        </w:tc>
        <w:tc>
          <w:tcPr>
            <w:tcW w:type="dxa" w:w="2520"/>
            <w:vAlign w:val="top"/>
          </w:tcPr>
          <w:p>
            <w:r>
              <w:t>Interpretação semântica por LLM local.</w:t>
            </w:r>
          </w:p>
        </w:tc>
        <w:tc>
          <w:tcPr>
            <w:tcW w:type="dxa" w:w="2520"/>
            <w:vAlign w:val="top"/>
          </w:tcPr>
          <w:p>
            <w:r>
              <w:t>Chunks</w:t>
            </w:r>
          </w:p>
        </w:tc>
        <w:tc>
          <w:tcPr>
            <w:tcW w:type="dxa" w:w="2520"/>
            <w:vAlign w:val="top"/>
          </w:tcPr>
          <w:p>
            <w:r>
              <w:t>Dados de apólice</w:t>
            </w:r>
          </w:p>
        </w:tc>
      </w:tr>
      <w:tr>
        <w:tc>
          <w:tcPr>
            <w:tcW w:type="dxa" w:w="2520"/>
            <w:vAlign w:val="top"/>
          </w:tcPr>
          <w:p>
            <w:r>
              <w:t>Structuring Agent</w:t>
            </w:r>
          </w:p>
        </w:tc>
        <w:tc>
          <w:tcPr>
            <w:tcW w:type="dxa" w:w="2520"/>
            <w:vAlign w:val="top"/>
          </w:tcPr>
          <w:p>
            <w:r>
              <w:t>Validação e normalização do schema.</w:t>
            </w:r>
          </w:p>
        </w:tc>
        <w:tc>
          <w:tcPr>
            <w:tcW w:type="dxa" w:w="2520"/>
            <w:vAlign w:val="top"/>
          </w:tcPr>
          <w:p>
            <w:r>
              <w:t>Dados do LLM</w:t>
            </w:r>
          </w:p>
        </w:tc>
        <w:tc>
          <w:tcPr>
            <w:tcW w:type="dxa" w:w="2520"/>
            <w:vAlign w:val="top"/>
          </w:tcPr>
          <w:p>
            <w:r>
              <w:t>PolicyData</w:t>
            </w:r>
          </w:p>
        </w:tc>
      </w:tr>
      <w:tr>
        <w:tc>
          <w:tcPr>
            <w:tcW w:type="dxa" w:w="2520"/>
            <w:vAlign w:val="top"/>
          </w:tcPr>
          <w:p>
            <w:r>
              <w:t>Repository</w:t>
            </w:r>
          </w:p>
        </w:tc>
        <w:tc>
          <w:tcPr>
            <w:tcW w:type="dxa" w:w="2520"/>
            <w:vAlign w:val="top"/>
          </w:tcPr>
          <w:p>
            <w:r>
              <w:t>Persistência estruturada.</w:t>
            </w:r>
          </w:p>
        </w:tc>
        <w:tc>
          <w:tcPr>
            <w:tcW w:type="dxa" w:w="2520"/>
            <w:vAlign w:val="top"/>
          </w:tcPr>
          <w:p>
            <w:r>
              <w:t>PolicyData</w:t>
            </w:r>
          </w:p>
        </w:tc>
        <w:tc>
          <w:tcPr>
            <w:tcW w:type="dxa" w:w="2520"/>
            <w:vAlign w:val="top"/>
          </w:tcPr>
          <w:p>
            <w:r>
              <w:t>SQLite</w:t>
            </w:r>
          </w:p>
        </w:tc>
      </w:tr>
      <w:tr>
        <w:tc>
          <w:tcPr>
            <w:tcW w:type="dxa" w:w="2520"/>
            <w:vAlign w:val="top"/>
          </w:tcPr>
          <w:p>
            <w:r>
              <w:t>Query Agent</w:t>
            </w:r>
          </w:p>
        </w:tc>
        <w:tc>
          <w:tcPr>
            <w:tcW w:type="dxa" w:w="2520"/>
            <w:vAlign w:val="top"/>
          </w:tcPr>
          <w:p>
            <w:r>
              <w:t>Perguntas sobre uma apólice estruturada com evidências.</w:t>
            </w:r>
          </w:p>
        </w:tc>
        <w:tc>
          <w:tcPr>
            <w:tcW w:type="dxa" w:w="2520"/>
            <w:vAlign w:val="top"/>
          </w:tcPr>
          <w:p>
            <w:r>
              <w:t>Pergunta + PolicyData</w:t>
            </w:r>
          </w:p>
        </w:tc>
        <w:tc>
          <w:tcPr>
            <w:tcW w:type="dxa" w:w="2520"/>
            <w:vAlign w:val="top"/>
          </w:tcPr>
          <w:p>
            <w:r>
              <w:t>Resposta + evidências</w:t>
            </w:r>
          </w:p>
        </w:tc>
      </w:tr>
      <w:tr>
        <w:tc>
          <w:tcPr>
            <w:tcW w:type="dxa" w:w="2520"/>
            <w:vAlign w:val="top"/>
          </w:tcPr>
          <w:p>
            <w:r>
              <w:t>Comparison Agent</w:t>
            </w:r>
          </w:p>
        </w:tc>
        <w:tc>
          <w:tcPr>
            <w:tcW w:type="dxa" w:w="2520"/>
            <w:vAlign w:val="top"/>
          </w:tcPr>
          <w:p>
            <w:r>
              <w:t>Comparação objetiva e semântica.</w:t>
            </w:r>
          </w:p>
        </w:tc>
        <w:tc>
          <w:tcPr>
            <w:tcW w:type="dxa" w:w="2520"/>
            <w:vAlign w:val="top"/>
          </w:tcPr>
          <w:p>
            <w:r>
              <w:t>Apólice A e B</w:t>
            </w:r>
          </w:p>
        </w:tc>
        <w:tc>
          <w:tcPr>
            <w:tcW w:type="dxa" w:w="2520"/>
            <w:vAlign w:val="top"/>
          </w:tcPr>
          <w:p>
            <w:r>
              <w:t>PolicyComparison</w:t>
            </w:r>
          </w:p>
        </w:tc>
      </w:tr>
      <w:tr>
        <w:tc>
          <w:tcPr>
            <w:tcW w:type="dxa" w:w="2520"/>
            <w:vAlign w:val="top"/>
          </w:tcPr>
          <w:p>
            <w:r>
              <w:t>Report Agent</w:t>
            </w:r>
          </w:p>
        </w:tc>
        <w:tc>
          <w:tcPr>
            <w:tcW w:type="dxa" w:w="2520"/>
            <w:vAlign w:val="top"/>
          </w:tcPr>
          <w:p>
            <w:r>
              <w:t>Relatório comparativo.</w:t>
            </w:r>
          </w:p>
        </w:tc>
        <w:tc>
          <w:tcPr>
            <w:tcW w:type="dxa" w:w="2520"/>
            <w:vAlign w:val="top"/>
          </w:tcPr>
          <w:p>
            <w:r>
              <w:t>Comparação</w:t>
            </w:r>
          </w:p>
        </w:tc>
        <w:tc>
          <w:tcPr>
            <w:tcW w:type="dxa" w:w="2520"/>
            <w:vAlign w:val="top"/>
          </w:tcPr>
          <w:p>
            <w:r>
              <w:t>PDF</w:t>
            </w:r>
          </w:p>
        </w:tc>
      </w:tr>
    </w:tbl>
    <w:p>
      <w:pPr>
        <w:pStyle w:val="Heading1"/>
        <w:spacing w:before="200" w:after="100"/>
      </w:pPr>
      <w:r>
        <w:t>4.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Uso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3360"/>
            <w:vAlign w:val="top"/>
          </w:tcPr>
          <w:p>
            <w:r>
              <w:t>Python 3.11+</w:t>
            </w:r>
          </w:p>
        </w:tc>
        <w:tc>
          <w:tcPr>
            <w:tcW w:type="dxa" w:w="3360"/>
            <w:vAlign w:val="top"/>
          </w:tcPr>
          <w:p>
            <w:r>
              <w:t>Back-end e agentes</w:t>
            </w:r>
          </w:p>
        </w:tc>
        <w:tc>
          <w:tcPr>
            <w:tcW w:type="dxa" w:w="3360"/>
            <w:vAlign w:val="top"/>
          </w:tcPr>
          <w:p>
            <w:r>
              <w:t>Ecossistema maduro para IA, OCR, documentos e web.</w:t>
            </w:r>
          </w:p>
        </w:tc>
      </w:tr>
      <w:tr>
        <w:tc>
          <w:tcPr>
            <w:tcW w:type="dxa" w:w="3360"/>
            <w:vAlign w:val="top"/>
          </w:tcPr>
          <w:p>
            <w:r>
              <w:t>Streamlit</w:t>
            </w:r>
          </w:p>
        </w:tc>
        <w:tc>
          <w:tcPr>
            <w:tcW w:type="dxa" w:w="3360"/>
            <w:vAlign w:val="top"/>
          </w:tcPr>
          <w:p>
            <w:r>
              <w:t>Interface de demonstração</w:t>
            </w:r>
          </w:p>
        </w:tc>
        <w:tc>
          <w:tcPr>
            <w:tcW w:type="dxa" w:w="3360"/>
            <w:vAlign w:val="top"/>
          </w:tcPr>
          <w:p>
            <w:r>
              <w:t>Permite entregar interface funcional com pouco código.</w:t>
            </w:r>
          </w:p>
        </w:tc>
      </w:tr>
      <w:tr>
        <w:tc>
          <w:tcPr>
            <w:tcW w:type="dxa" w:w="3360"/>
            <w:vAlign w:val="top"/>
          </w:tcPr>
          <w:p>
            <w:r>
              <w:t>Ollama</w:t>
            </w:r>
          </w:p>
        </w:tc>
        <w:tc>
          <w:tcPr>
            <w:tcW w:type="dxa" w:w="3360"/>
            <w:vAlign w:val="top"/>
          </w:tcPr>
          <w:p>
            <w:r>
              <w:t>Execução de LLM local</w:t>
            </w:r>
          </w:p>
        </w:tc>
        <w:tc>
          <w:tcPr>
            <w:tcW w:type="dxa" w:w="3360"/>
            <w:vAlign w:val="top"/>
          </w:tcPr>
          <w:p>
            <w:r>
              <w:t>Privacidade, ausência de chave externa e troca simples de modelo.</w:t>
            </w:r>
          </w:p>
        </w:tc>
      </w:tr>
      <w:tr>
        <w:tc>
          <w:tcPr>
            <w:tcW w:type="dxa" w:w="3360"/>
            <w:vAlign w:val="top"/>
          </w:tcPr>
          <w:p>
            <w:r>
              <w:t>Qwen local (configurável)</w:t>
            </w:r>
          </w:p>
        </w:tc>
        <w:tc>
          <w:tcPr>
            <w:tcW w:type="dxa" w:w="3360"/>
            <w:vAlign w:val="top"/>
          </w:tcPr>
          <w:p>
            <w:r>
              <w:t>Extração semântica e resumo</w:t>
            </w:r>
          </w:p>
        </w:tc>
        <w:tc>
          <w:tcPr>
            <w:tcW w:type="dxa" w:w="3360"/>
            <w:vAlign w:val="top"/>
          </w:tcPr>
          <w:p>
            <w:r>
              <w:t>Modelo local adequado ao protótipo; pode ser substituído por outro disponível no Ollama.</w:t>
            </w:r>
          </w:p>
        </w:tc>
      </w:tr>
      <w:tr>
        <w:tc>
          <w:tcPr>
            <w:tcW w:type="dxa" w:w="3360"/>
            <w:vAlign w:val="top"/>
          </w:tcPr>
          <w:p>
            <w:r>
              <w:t>PyMuPDF</w:t>
            </w:r>
          </w:p>
        </w:tc>
        <w:tc>
          <w:tcPr>
            <w:tcW w:type="dxa" w:w="3360"/>
            <w:vAlign w:val="top"/>
          </w:tcPr>
          <w:p>
            <w:r>
              <w:t>Leitura de PDF</w:t>
            </w:r>
          </w:p>
        </w:tc>
        <w:tc>
          <w:tcPr>
            <w:tcW w:type="dxa" w:w="3360"/>
            <w:vAlign w:val="top"/>
          </w:tcPr>
          <w:p>
            <w:r>
              <w:t>Extração textual rápida e renderização de páginas.</w:t>
            </w:r>
          </w:p>
        </w:tc>
      </w:tr>
      <w:tr>
        <w:tc>
          <w:tcPr>
            <w:tcW w:type="dxa" w:w="3360"/>
            <w:vAlign w:val="top"/>
          </w:tcPr>
          <w:p>
            <w:r>
              <w:t>Tesseract OCR</w:t>
            </w:r>
          </w:p>
        </w:tc>
        <w:tc>
          <w:tcPr>
            <w:tcW w:type="dxa" w:w="3360"/>
            <w:vAlign w:val="top"/>
          </w:tcPr>
          <w:p>
            <w:r>
              <w:t>OCR gratuito</w:t>
            </w:r>
          </w:p>
        </w:tc>
        <w:tc>
          <w:tcPr>
            <w:tcW w:type="dxa" w:w="3360"/>
            <w:vAlign w:val="top"/>
          </w:tcPr>
          <w:p>
            <w:r>
              <w:t>Fallback para imagens e PDFs digitalizados.</w:t>
            </w:r>
          </w:p>
        </w:tc>
      </w:tr>
      <w:tr>
        <w:tc>
          <w:tcPr>
            <w:tcW w:type="dxa" w:w="3360"/>
            <w:vAlign w:val="top"/>
          </w:tcPr>
          <w:p>
            <w:r>
              <w:t>Pydantic</w:t>
            </w:r>
          </w:p>
        </w:tc>
        <w:tc>
          <w:tcPr>
            <w:tcW w:type="dxa" w:w="3360"/>
            <w:vAlign w:val="top"/>
          </w:tcPr>
          <w:p>
            <w:r>
              <w:t>Schemas e validação</w:t>
            </w:r>
          </w:p>
        </w:tc>
        <w:tc>
          <w:tcPr>
            <w:tcW w:type="dxa" w:w="3360"/>
            <w:vAlign w:val="top"/>
          </w:tcPr>
          <w:p>
            <w:r>
              <w:t>Contrato forte entre LLM e aplicação.</w:t>
            </w:r>
          </w:p>
        </w:tc>
      </w:tr>
      <w:tr>
        <w:tc>
          <w:tcPr>
            <w:tcW w:type="dxa" w:w="3360"/>
            <w:vAlign w:val="top"/>
          </w:tcPr>
          <w:p>
            <w:r>
              <w:t>LangGraph</w:t>
            </w:r>
          </w:p>
        </w:tc>
        <w:tc>
          <w:tcPr>
            <w:tcW w:type="dxa" w:w="3360"/>
            <w:vAlign w:val="top"/>
          </w:tcPr>
          <w:p>
            <w:r>
              <w:t>Orquestração</w:t>
            </w:r>
          </w:p>
        </w:tc>
        <w:tc>
          <w:tcPr>
            <w:tcW w:type="dxa" w:w="3360"/>
            <w:vAlign w:val="top"/>
          </w:tcPr>
          <w:p>
            <w:r>
              <w:t>Workflow explícito com nós/agentes especializados.</w:t>
            </w:r>
          </w:p>
        </w:tc>
      </w:tr>
      <w:tr>
        <w:tc>
          <w:tcPr>
            <w:tcW w:type="dxa" w:w="3360"/>
            <w:vAlign w:val="top"/>
          </w:tcPr>
          <w:p>
            <w:r>
              <w:t>SQLite</w:t>
            </w:r>
          </w:p>
        </w:tc>
        <w:tc>
          <w:tcPr>
            <w:tcW w:type="dxa" w:w="3360"/>
            <w:vAlign w:val="top"/>
          </w:tcPr>
          <w:p>
            <w:r>
              <w:t>Persistência</w:t>
            </w:r>
          </w:p>
        </w:tc>
        <w:tc>
          <w:tcPr>
            <w:tcW w:type="dxa" w:w="3360"/>
            <w:vAlign w:val="top"/>
          </w:tcPr>
          <w:p>
            <w:r>
              <w:t>Zero infraestrutura adicional para o MVP.</w:t>
            </w:r>
          </w:p>
        </w:tc>
      </w:tr>
      <w:tr>
        <w:tc>
          <w:tcPr>
            <w:tcW w:type="dxa" w:w="3360"/>
            <w:vAlign w:val="top"/>
          </w:tcPr>
          <w:p>
            <w:r>
              <w:t>scikit-learn / TF-IDF</w:t>
            </w:r>
          </w:p>
        </w:tc>
        <w:tc>
          <w:tcPr>
            <w:tcW w:type="dxa" w:w="3360"/>
            <w:vAlign w:val="top"/>
          </w:tcPr>
          <w:p>
            <w:r>
              <w:t>Recuperação local</w:t>
            </w:r>
          </w:p>
        </w:tc>
        <w:tc>
          <w:tcPr>
            <w:tcW w:type="dxa" w:w="3360"/>
            <w:vAlign w:val="top"/>
          </w:tcPr>
          <w:p>
            <w:r>
              <w:t>Reduz o contexto enviado ao LLM sem exigir vector DB.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ReportLab</w:t>
            </w:r>
          </w:p>
        </w:tc>
        <w:tc>
          <w:tcPr>
            <w:tcW w:type="dxa" w:w="3360"/>
            <w:vAlign w:val="top"/>
          </w:tcPr>
          <w:p>
            <w:r>
              <w:t>PDF comparativo</w:t>
            </w:r>
          </w:p>
        </w:tc>
        <w:tc>
          <w:tcPr>
            <w:tcW w:type="dxa" w:w="3360"/>
            <w:vAlign w:val="top"/>
          </w:tcPr>
          <w:p>
            <w:r>
              <w:t>Geração programática do relatório final.</w:t>
            </w:r>
          </w:p>
        </w:tc>
      </w:tr>
    </w:tbl>
    <w:p>
      <w:pPr>
        <w:pStyle w:val="Heading1"/>
        <w:spacing w:before="200" w:after="100"/>
      </w:pPr>
      <w:r>
        <w:t>5. Descrição dos agentes</w:t>
      </w:r>
    </w:p>
    <w:p>
      <w:pPr>
        <w:pStyle w:val="Heading2"/>
        <w:spacing w:before="200" w:after="100"/>
      </w:pPr>
      <w:r>
        <w:t>5.1 Intake Agent</w:t>
      </w:r>
    </w:p>
    <w:p>
      <w:r>
        <w:t>Responsável pela porta de entrada do fluxo. Valida extensão, existência e tamanho do arquivo e produz identificador estável derivado de SHA-256.</w:t>
      </w:r>
    </w:p>
    <w:p>
      <w:pPr>
        <w:pStyle w:val="ListBullet"/>
      </w:pPr>
      <w:r>
        <w:t>Evita processar formatos não suportados.</w:t>
      </w:r>
    </w:p>
    <w:p>
      <w:pPr>
        <w:pStyle w:val="ListBullet"/>
      </w:pPr>
      <w:r>
        <w:t>Permite reconhecer o mesmo documento em execuções diferentes.</w:t>
      </w:r>
    </w:p>
    <w:p>
      <w:pPr>
        <w:pStyle w:val="Heading2"/>
        <w:spacing w:before="200" w:after="100"/>
      </w:pPr>
      <w:r>
        <w:t>5.2 Extraction Agent</w:t>
      </w:r>
    </w:p>
    <w:p>
      <w:r>
        <w:t>Tenta primeiro a extração textual nativa. Se uma página possuir pouco texto, renderiza a página e aplica OCR.</w:t>
      </w:r>
    </w:p>
    <w:p>
      <w:pPr>
        <w:pStyle w:val="ListBullet"/>
      </w:pPr>
      <w:r>
        <w:t>PDF textual: PyMuPDF.</w:t>
      </w:r>
    </w:p>
    <w:p>
      <w:pPr>
        <w:pStyle w:val="ListBullet"/>
      </w:pPr>
      <w:r>
        <w:t>Imagem/PDF digitalizado: Tesseract.</w:t>
      </w:r>
    </w:p>
    <w:p>
      <w:pPr>
        <w:pStyle w:val="ListBullet"/>
      </w:pPr>
      <w:r>
        <w:t>Resultado preserva número da página e método de extração.</w:t>
      </w:r>
    </w:p>
    <w:p>
      <w:pPr>
        <w:pStyle w:val="Heading2"/>
        <w:spacing w:before="200" w:after="100"/>
      </w:pPr>
      <w:r>
        <w:t>5.3 Clause Agent</w:t>
      </w:r>
    </w:p>
    <w:p>
      <w:r>
        <w:t>Seleciona chunks potencialmente relevantes e solicita ao LLM local uma resposta estruturada.</w:t>
      </w:r>
    </w:p>
    <w:p>
      <w:pPr>
        <w:pStyle w:val="ListBullet"/>
      </w:pPr>
      <w:r>
        <w:t>Não deve inventar campos ausentes.</w:t>
      </w:r>
    </w:p>
    <w:p>
      <w:pPr>
        <w:pStyle w:val="ListBullet"/>
      </w:pPr>
      <w:r>
        <w:t>Cada cobertura/exclusão deve carregar evidência textual e página.</w:t>
      </w:r>
    </w:p>
    <w:p>
      <w:pPr>
        <w:pStyle w:val="ListBullet"/>
      </w:pPr>
      <w:r>
        <w:t>A saída é validada contra schema Pydantic.</w:t>
      </w:r>
    </w:p>
    <w:p>
      <w:pPr>
        <w:pStyle w:val="Heading2"/>
        <w:spacing w:before="200" w:after="100"/>
      </w:pPr>
      <w:r>
        <w:t>5.4 Structuring Agent</w:t>
      </w:r>
    </w:p>
    <w:p>
      <w:r>
        <w:t>Converte a extração semântica para o modelo canônico PolicyData.</w:t>
      </w:r>
    </w:p>
    <w:p>
      <w:pPr>
        <w:pStyle w:val="ListBullet"/>
      </w:pPr>
      <w:r>
        <w:t>Desacopla o schema persistido do formato bruto do LLM.</w:t>
      </w:r>
    </w:p>
    <w:p>
      <w:pPr>
        <w:pStyle w:val="ListBullet"/>
      </w:pPr>
      <w:r>
        <w:t>Centraliza defaults, validações e tipos.</w:t>
      </w:r>
    </w:p>
    <w:p>
      <w:pPr>
        <w:pStyle w:val="Heading2"/>
        <w:spacing w:before="200" w:after="100"/>
      </w:pPr>
      <w:r>
        <w:t>5.5 Query Agent</w:t>
      </w:r>
    </w:p>
    <w:p>
      <w:r>
        <w:t>Responde perguntas em linguagem natural sobre os dados já extraídos de uma apólice.</w:t>
      </w:r>
    </w:p>
    <w:p>
      <w:pPr>
        <w:pStyle w:val="ListBullet"/>
      </w:pPr>
      <w:r>
        <w:t>Usa exclusivamente o PolicyData como fonte.</w:t>
      </w:r>
    </w:p>
    <w:p>
      <w:pPr>
        <w:pStyle w:val="ListBullet"/>
      </w:pPr>
      <w:r>
        <w:t>Retorna evidências existentes e sinaliza quando a resposta é inconclusiva.</w:t>
      </w:r>
    </w:p>
    <w:p>
      <w:pPr>
        <w:pStyle w:val="Heading2"/>
        <w:spacing w:before="200" w:after="100"/>
      </w:pPr>
      <w:r>
        <w:t>5.6 Comparison Agent</w:t>
      </w:r>
    </w:p>
    <w:p>
      <w:r>
        <w:t>Combina pareamento textual com regras determinísticas.</w:t>
      </w:r>
    </w:p>
    <w:p>
      <w:pPr>
        <w:pStyle w:val="ListBullet"/>
      </w:pPr>
      <w:r>
        <w:t>Limite maior pode ser classificado como mais favorável.</w:t>
      </w:r>
    </w:p>
    <w:p>
      <w:pPr>
        <w:pStyle w:val="ListBullet"/>
      </w:pPr>
      <w:r>
        <w:t>Franquia menor pode ser classificada como mais favorável.</w:t>
      </w:r>
    </w:p>
    <w:p>
      <w:pPr>
        <w:pStyle w:val="ListBullet"/>
      </w:pPr>
      <w:r>
        <w:t>Itens presentes somente em uma apólice são destacados.</w:t>
      </w:r>
    </w:p>
    <w:p>
      <w:pPr>
        <w:pStyle w:val="ListBullet"/>
      </w:pPr>
      <w:r>
        <w:t>Exclusões próximas são pareadas por similaridade.</w:t>
      </w:r>
    </w:p>
    <w:p>
      <w:pPr>
        <w:pStyle w:val="Heading2"/>
        <w:spacing w:before="200" w:after="100"/>
      </w:pPr>
      <w:r>
        <w:t>5.7 Report Agent</w:t>
      </w:r>
    </w:p>
    <w:p>
      <w:r>
        <w:t>Produz um documento comparativo contendo resumo, tabela de diferenças e aviso de validação humana.</w:t>
      </w:r>
    </w:p>
    <w:p>
      <w:pPr>
        <w:pStyle w:val="ListBullet"/>
      </w:pPr>
      <w:r>
        <w:t>Entrega um artefato compartilhável.</w:t>
      </w:r>
    </w:p>
    <w:p>
      <w:pPr>
        <w:pStyle w:val="ListBullet"/>
      </w:pPr>
      <w:r>
        <w:t>Evita que o resultado fique restrito à interface web.</w:t>
      </w:r>
    </w:p>
    <w:p>
      <w:pPr>
        <w:pStyle w:val="Heading1"/>
        <w:spacing w:before="200" w:after="100"/>
      </w:pPr>
      <w:r>
        <w:t>6. Fluxo completo de processamento</w:t>
      </w:r>
    </w:p>
    <w:p>
      <w:pPr>
        <w:pStyle w:val="ListNumber"/>
      </w:pPr>
      <w:r>
        <w:t>Usuário envia uma ou mais apólices pela interface.</w:t>
      </w:r>
    </w:p>
    <w:p>
      <w:pPr>
        <w:pStyle w:val="ListNumber"/>
      </w:pPr>
      <w:r>
        <w:t>Intake Agent valida os arquivos e gera document_id.</w:t>
      </w:r>
    </w:p>
    <w:p>
      <w:pPr>
        <w:pStyle w:val="ListNumber"/>
      </w:pPr>
      <w:r>
        <w:t>Extraction Agent extrai texto por página; OCR é acionado quando necessário.</w:t>
      </w:r>
    </w:p>
    <w:p>
      <w:pPr>
        <w:pStyle w:val="ListNumber"/>
      </w:pPr>
      <w:r>
        <w:t>Chunking Service fragmenta o texto preservando página.</w:t>
      </w:r>
    </w:p>
    <w:p>
      <w:pPr>
        <w:pStyle w:val="ListNumber"/>
      </w:pPr>
      <w:r>
        <w:t>Retrieval Service usa TF-IDF para selecionar trechos relacionados a coberturas, exclusões, franquias, limites e dados gerais.</w:t>
      </w:r>
    </w:p>
    <w:p>
      <w:pPr>
        <w:pStyle w:val="ListNumber"/>
      </w:pPr>
      <w:r>
        <w:t>Clause Agent envia somente os trechos selecionados ao Ollama e solicita JSON estruturado.</w:t>
      </w:r>
    </w:p>
    <w:p>
      <w:pPr>
        <w:pStyle w:val="ListNumber"/>
      </w:pPr>
      <w:r>
        <w:t>Pydantic valida a resposta; o Structuring Agent cria o PolicyData.</w:t>
      </w:r>
    </w:p>
    <w:p>
      <w:pPr>
        <w:pStyle w:val="ListNumber"/>
      </w:pPr>
      <w:r>
        <w:t>PolicyRepository persiste o JSON no SQLite.</w:t>
      </w:r>
    </w:p>
    <w:p>
      <w:pPr>
        <w:pStyle w:val="ListNumber"/>
      </w:pPr>
      <w:r>
        <w:t>Usuário pode consultar uma apólice estruturada em linguagem natural por meio do Query Agent.</w:t>
      </w:r>
    </w:p>
    <w:p>
      <w:pPr>
        <w:pStyle w:val="ListNumber"/>
      </w:pPr>
      <w:r>
        <w:t>Usuário seleciona duas apólices na aba de comparação.</w:t>
      </w:r>
    </w:p>
    <w:p>
      <w:pPr>
        <w:pStyle w:val="ListNumber"/>
      </w:pPr>
      <w:r>
        <w:t>Comparison Agent pareia elementos e classifica diferenças.</w:t>
      </w:r>
    </w:p>
    <w:p>
      <w:pPr>
        <w:pStyle w:val="ListNumber"/>
      </w:pPr>
      <w:r>
        <w:t>O LLM produz um resumo executivo, com fallback determinístico se indisponível.</w:t>
      </w:r>
    </w:p>
    <w:p>
      <w:pPr>
        <w:pStyle w:val="ListNumber"/>
      </w:pPr>
      <w:r>
        <w:t>Report Agent gera o PDF comparativo e a interface apresenta evidências por página.</w:t>
      </w:r>
    </w:p>
    <w:p>
      <w:pPr>
        <w:pStyle w:val="Heading1"/>
        <w:spacing w:before="200" w:after="100"/>
      </w:pPr>
      <w:r>
        <w:t>7. Modelo de dados e rastreabilidade</w:t>
      </w:r>
    </w:p>
    <w:p>
      <w:r>
        <w:t>O schema canônico foi desenhado para não armazenar apenas a conclusão do modelo. Informações relevantes carregam Evidence com página, texto e confiança. Esse desenho permite auditoria, revisão humana e futuras métricas de qualidade.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Campos principais</w:t>
            </w:r>
          </w:p>
        </w:tc>
      </w:tr>
      <w:tr>
        <w:tc>
          <w:tcPr>
            <w:tcW w:type="dxa" w:w="5040"/>
            <w:vAlign w:val="top"/>
          </w:tcPr>
          <w:p>
            <w:r>
              <w:t>PolicyData</w:t>
            </w:r>
          </w:p>
        </w:tc>
        <w:tc>
          <w:tcPr>
            <w:tcW w:type="dxa" w:w="5040"/>
            <w:vAlign w:val="top"/>
          </w:tcPr>
          <w:p>
            <w:r>
              <w:t>policy_id, document_name, insurer, policy_number, insured_name, product, vigência</w:t>
            </w:r>
          </w:p>
        </w:tc>
      </w:tr>
      <w:tr>
        <w:tc>
          <w:tcPr>
            <w:tcW w:type="dxa" w:w="5040"/>
            <w:vAlign w:val="top"/>
          </w:tcPr>
          <w:p>
            <w:r>
              <w:t>Coverage</w:t>
            </w:r>
          </w:p>
        </w:tc>
        <w:tc>
          <w:tcPr>
            <w:tcW w:type="dxa" w:w="5040"/>
            <w:vAlign w:val="top"/>
          </w:tcPr>
          <w:p>
            <w:r>
              <w:t>name, description, limit_value, currency, deductible_value, deductible_text,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Exclusion</w:t>
            </w:r>
          </w:p>
        </w:tc>
        <w:tc>
          <w:tcPr>
            <w:tcW w:type="dxa" w:w="5040"/>
            <w:vAlign w:val="top"/>
          </w:tcPr>
          <w:p>
            <w:r>
              <w:t>category, description,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SpecialClause</w:t>
            </w:r>
          </w:p>
        </w:tc>
        <w:tc>
          <w:tcPr>
            <w:tcW w:type="dxa" w:w="5040"/>
            <w:vAlign w:val="top"/>
          </w:tcPr>
          <w:p>
            <w:r>
              <w:t>category, title, description,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Evidence</w:t>
            </w:r>
          </w:p>
        </w:tc>
        <w:tc>
          <w:tcPr>
            <w:tcW w:type="dxa" w:w="5040"/>
            <w:vAlign w:val="top"/>
          </w:tcPr>
          <w:p>
            <w:r>
              <w:t>page, text, confidence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PolicyComparison</w:t>
            </w:r>
          </w:p>
        </w:tc>
        <w:tc>
          <w:tcPr>
            <w:tcW w:type="dxa" w:w="5040"/>
            <w:vAlign w:val="top"/>
          </w:tcPr>
          <w:p>
            <w:r>
              <w:t>policy_a_id, policy_b_id, summary, items</w:t>
            </w:r>
          </w:p>
        </w:tc>
      </w:tr>
      <w:tr>
        <w:tc>
          <w:tcPr>
            <w:tcW w:type="dxa" w:w="5040"/>
            <w:vAlign w:val="top"/>
          </w:tcPr>
          <w:p>
            <w:r>
              <w:t>ComparisonItem</w:t>
            </w:r>
          </w:p>
        </w:tc>
        <w:tc>
          <w:tcPr>
            <w:tcW w:type="dxa" w:w="5040"/>
            <w:vAlign w:val="top"/>
          </w:tcPr>
          <w:p>
            <w:r>
              <w:t>dimension, item, A, B, status, rationale, evidence_a, evidence_b</w:t>
            </w:r>
          </w:p>
        </w:tc>
      </w:tr>
    </w:tbl>
    <w:p>
      <w:pPr>
        <w:pStyle w:val="Heading1"/>
        <w:spacing w:before="200" w:after="100"/>
      </w:pPr>
      <w:r>
        <w:t>8. Estratégia de comparação</w:t>
      </w:r>
    </w:p>
    <w:p>
      <w:r>
        <w:t>A comparação não é delegada integralmente ao LLM. O MVP prioriza regras explícitas para reduzir variabilidade e facilitar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40"/>
            <w:vAlign w:val="top"/>
          </w:tcPr>
          <w:p>
            <w:r>
              <w:t>EQUIVALENTE</w:t>
            </w:r>
          </w:p>
        </w:tc>
        <w:tc>
          <w:tcPr>
            <w:tcW w:type="dxa" w:w="5040"/>
            <w:vAlign w:val="top"/>
          </w:tcPr>
          <w:p>
            <w:r>
              <w:t>Condições equivalentes nos campos comparados.</w:t>
            </w:r>
          </w:p>
        </w:tc>
      </w:tr>
      <w:tr>
        <w:tc>
          <w:tcPr>
            <w:tcW w:type="dxa" w:w="5040"/>
            <w:vAlign w:val="top"/>
          </w:tcPr>
          <w:p>
            <w:r>
              <w:t>MAIS_FAVORAVEL_A</w:t>
            </w:r>
          </w:p>
        </w:tc>
        <w:tc>
          <w:tcPr>
            <w:tcW w:type="dxa" w:w="5040"/>
            <w:vAlign w:val="top"/>
          </w:tcPr>
          <w:p>
            <w:r>
              <w:t>Critério quantitativo favorece A, por exemplo maior limite ou menor franquia.</w:t>
            </w:r>
          </w:p>
        </w:tc>
      </w:tr>
      <w:tr>
        <w:tc>
          <w:tcPr>
            <w:tcW w:type="dxa" w:w="5040"/>
            <w:vAlign w:val="top"/>
          </w:tcPr>
          <w:p>
            <w:r>
              <w:t>MAIS_FAVORAVEL_B</w:t>
            </w:r>
          </w:p>
        </w:tc>
        <w:tc>
          <w:tcPr>
            <w:tcW w:type="dxa" w:w="5040"/>
            <w:vAlign w:val="top"/>
          </w:tcPr>
          <w:p>
            <w:r>
              <w:t>Critério quantitativo favorece B.</w:t>
            </w:r>
          </w:p>
        </w:tc>
      </w:tr>
      <w:tr>
        <w:tc>
          <w:tcPr>
            <w:tcW w:type="dxa" w:w="5040"/>
            <w:vAlign w:val="top"/>
          </w:tcPr>
          <w:p>
            <w:r>
              <w:t>SOMENTE_A</w:t>
            </w:r>
          </w:p>
        </w:tc>
        <w:tc>
          <w:tcPr>
            <w:tcW w:type="dxa" w:w="5040"/>
            <w:vAlign w:val="top"/>
          </w:tcPr>
          <w:p>
            <w:r>
              <w:t>Item identificado somente na apólice A.</w:t>
            </w:r>
          </w:p>
        </w:tc>
      </w:tr>
      <w:tr>
        <w:tc>
          <w:tcPr>
            <w:tcW w:type="dxa" w:w="5040"/>
            <w:vAlign w:val="top"/>
          </w:tcPr>
          <w:p>
            <w:r>
              <w:t>SOMENTE_B</w:t>
            </w:r>
          </w:p>
        </w:tc>
        <w:tc>
          <w:tcPr>
            <w:tcW w:type="dxa" w:w="5040"/>
            <w:vAlign w:val="top"/>
          </w:tcPr>
          <w:p>
            <w:r>
              <w:t>Item identificado somente na apólice B.</w:t>
            </w:r>
          </w:p>
        </w:tc>
      </w:tr>
      <w:tr>
        <w:tc>
          <w:tcPr>
            <w:tcW w:type="dxa" w:w="5040"/>
            <w:vAlign w:val="top"/>
          </w:tcPr>
          <w:p>
            <w:r>
              <w:t>DIFERENTE</w:t>
            </w:r>
          </w:p>
        </w:tc>
        <w:tc>
          <w:tcPr>
            <w:tcW w:type="dxa" w:w="5040"/>
            <w:vAlign w:val="top"/>
          </w:tcPr>
          <w:p>
            <w:r>
              <w:t>Conteúdo presente em ambas, mas materialmente diferente.</w:t>
            </w:r>
          </w:p>
        </w:tc>
      </w:tr>
      <w:tr>
        <w:tc>
          <w:tcPr>
            <w:tcW w:type="dxa" w:w="5040"/>
            <w:vAlign w:val="top"/>
          </w:tcPr>
          <w:p>
            <w:r>
              <w:t>INCONCLUSIVO</w:t>
            </w:r>
          </w:p>
        </w:tc>
        <w:tc>
          <w:tcPr>
            <w:tcW w:type="dxa" w:w="5040"/>
            <w:vAlign w:val="top"/>
          </w:tcPr>
          <w:p>
            <w:r>
              <w:t>Dados insuficientes para uma conclusão segura.</w:t>
            </w:r>
          </w:p>
        </w:tc>
      </w:tr>
    </w:tbl>
    <w:p>
      <w:pPr>
        <w:pStyle w:val="Heading1"/>
        <w:spacing w:before="200" w:after="100"/>
      </w:pPr>
      <w:r>
        <w:t>9. Tratamento de erros, segurança e configuração</w:t>
      </w:r>
    </w:p>
    <w:p>
      <w:pPr>
        <w:pStyle w:val="ListBullet"/>
      </w:pPr>
      <w:r>
        <w:t>Arquivo inválido ou vazio interrompe o fluxo antes do processamento de IA.</w:t>
      </w:r>
    </w:p>
    <w:p>
      <w:pPr>
        <w:pStyle w:val="ListBullet"/>
      </w:pPr>
      <w:r>
        <w:t>Falhas de conexão ou timeout do Ollama são convertidas em erro controlado.</w:t>
      </w:r>
    </w:p>
    <w:p>
      <w:pPr>
        <w:pStyle w:val="ListBullet"/>
      </w:pPr>
      <w:r>
        <w:t>A resposta estruturada do LLM é validada por Pydantic; JSON incompatível não é persistido silenciosamente.</w:t>
      </w:r>
    </w:p>
    <w:p>
      <w:pPr>
        <w:pStyle w:val="ListBullet"/>
      </w:pPr>
      <w:r>
        <w:t>OCR é fallback e não é aplicado indiscriminadamente a todo PDF.</w:t>
      </w:r>
    </w:p>
    <w:p>
      <w:pPr>
        <w:pStyle w:val="ListBullet"/>
      </w:pPr>
      <w:r>
        <w:t>Configurações ficam em .env; o arquivo real é ignorado pelo Git.</w:t>
      </w:r>
    </w:p>
    <w:p>
      <w:pPr>
        <w:pStyle w:val="ListBullet"/>
      </w:pPr>
      <w:r>
        <w:t>O MVP não exige chaves de API externas e pode operar integralmente no computador do avaliador.</w:t>
      </w:r>
    </w:p>
    <w:p>
      <w:pPr>
        <w:pStyle w:val="ListBullet"/>
      </w:pPr>
      <w:r>
        <w:t>Documentos reais podem conter dados sensíveis; para produção seriam necessários autenticação, controle de acesso, criptografia, retenção e trilha de auditoria.</w:t>
      </w:r>
    </w:p>
    <w:p>
      <w:pPr>
        <w:pStyle w:val="Heading1"/>
        <w:spacing w:before="200" w:after="100"/>
      </w:pPr>
      <w:r>
        <w:t>10. Instalação e execução</w:t>
      </w:r>
    </w:p>
    <w:p>
      <w:pPr>
        <w:pStyle w:val="ListBullet"/>
      </w:pPr>
      <w:r>
        <w:t>Instalar Python 3.11 ou 3.12.</w:t>
      </w:r>
    </w:p>
    <w:p>
      <w:pPr>
        <w:pStyle w:val="ListBullet"/>
      </w:pPr>
      <w:r>
        <w:t>Criar ambiente virtual e executar pip install -r requirements.txt.</w:t>
      </w:r>
    </w:p>
    <w:p>
      <w:pPr>
        <w:pStyle w:val="ListBullet"/>
      </w:pPr>
      <w:r>
        <w:t>Instalar Ollama e executar: ollama pull qwen3:4b.</w:t>
      </w:r>
    </w:p>
    <w:p>
      <w:pPr>
        <w:pStyle w:val="ListBullet"/>
      </w:pPr>
      <w:r>
        <w:t>Instalar Tesseract OCR e o idioma português, garantindo tesseract.exe no PATH.</w:t>
      </w:r>
    </w:p>
    <w:p>
      <w:pPr>
        <w:pStyle w:val="ListBullet"/>
      </w:pPr>
      <w:r>
        <w:t>Copiar .env.example para .env.</w:t>
      </w:r>
    </w:p>
    <w:p>
      <w:pPr>
        <w:pStyle w:val="ListBullet"/>
      </w:pPr>
      <w:r>
        <w:t>Executar python run.py ou streamlit run frontend/streamlit_app.py.</w:t>
      </w:r>
    </w:p>
    <w:p>
      <w:pPr>
        <w:pStyle w:val="ListBullet"/>
      </w:pPr>
      <w:r>
        <w:t>Abrir http://localhost:8501.</w:t>
      </w:r>
    </w:p>
    <w:p>
      <w:pPr>
        <w:pStyle w:val="Heading2"/>
        <w:spacing w:before="200" w:after="100"/>
      </w:pPr>
      <w:r>
        <w:t>10.1 Roteiro de demonstração</w:t>
      </w:r>
    </w:p>
    <w:p>
      <w:pPr>
        <w:pStyle w:val="ListBullet"/>
      </w:pPr>
      <w:r>
        <w:t>Criar os dois PDFs sintéticos pelo botão da barra lateral.</w:t>
      </w:r>
    </w:p>
    <w:p>
      <w:pPr>
        <w:pStyle w:val="ListBullet"/>
      </w:pPr>
      <w:r>
        <w:t>Enviar os dois arquivos pela aba Processar.</w:t>
      </w:r>
    </w:p>
    <w:p>
      <w:pPr>
        <w:pStyle w:val="ListBullet"/>
      </w:pPr>
      <w:r>
        <w:t>Acompanhar a estrutura JSON extraída.</w:t>
      </w:r>
    </w:p>
    <w:p>
      <w:pPr>
        <w:pStyle w:val="ListBullet"/>
      </w:pPr>
      <w:r>
        <w:t>Abrir a aba Apólices e conferir coberturas/exclusões.</w:t>
      </w:r>
    </w:p>
    <w:p>
      <w:pPr>
        <w:pStyle w:val="ListBullet"/>
      </w:pPr>
      <w:r>
        <w:t>Usar a aba Consultar para fazer uma pergunta e revisar evidências.</w:t>
      </w:r>
    </w:p>
    <w:p>
      <w:pPr>
        <w:pStyle w:val="ListBullet"/>
      </w:pPr>
      <w:r>
        <w:t>Selecionar A e B na aba Comparar.</w:t>
      </w:r>
    </w:p>
    <w:p>
      <w:pPr>
        <w:pStyle w:val="ListBullet"/>
      </w:pPr>
      <w:r>
        <w:t>Conferir classificação, evidências e páginas.</w:t>
      </w:r>
    </w:p>
    <w:p>
      <w:pPr>
        <w:pStyle w:val="ListBullet"/>
      </w:pPr>
      <w:r>
        <w:t>Baixar o PDF comparativo.</w:t>
      </w:r>
    </w:p>
    <w:p>
      <w:pPr>
        <w:pStyle w:val="Heading1"/>
        <w:spacing w:before="200" w:after="100"/>
      </w:pPr>
      <w:r>
        <w:t>11. Testes e validação</w:t>
      </w:r>
    </w:p>
    <w:p>
      <w:r>
        <w:t>O pacote inclui testes automatizados para pontos determinísticos e foi submetido a smoke tests locais durante a geração deste entregável.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5040"/>
            <w:vAlign w:val="top"/>
          </w:tcPr>
          <w:p>
            <w:r>
              <w:t>Intake ID</w:t>
            </w:r>
          </w:p>
        </w:tc>
        <w:tc>
          <w:tcPr>
            <w:tcW w:type="dxa" w:w="5040"/>
            <w:vAlign w:val="top"/>
          </w:tcPr>
          <w:p>
            <w:r>
              <w:t>Mesmo arquivo produz o mesmo identificador.</w:t>
            </w:r>
          </w:p>
        </w:tc>
      </w:tr>
      <w:tr>
        <w:tc>
          <w:tcPr>
            <w:tcW w:type="dxa" w:w="5040"/>
            <w:vAlign w:val="top"/>
          </w:tcPr>
          <w:p>
            <w:r>
              <w:t>Comparação de limite</w:t>
            </w:r>
          </w:p>
        </w:tc>
        <w:tc>
          <w:tcPr>
            <w:tcW w:type="dxa" w:w="5040"/>
            <w:vAlign w:val="top"/>
          </w:tcPr>
          <w:p>
            <w:r>
              <w:t>Maior limite em A resulta em MAIS_FAVORAVEL_A.</w:t>
            </w:r>
          </w:p>
        </w:tc>
      </w:tr>
      <w:tr>
        <w:tc>
          <w:tcPr>
            <w:tcW w:type="dxa" w:w="5040"/>
            <w:vAlign w:val="top"/>
          </w:tcPr>
          <w:p>
            <w:r>
              <w:t>PDF sintético</w:t>
            </w:r>
          </w:p>
        </w:tc>
        <w:tc>
          <w:tcPr>
            <w:tcW w:type="dxa" w:w="5040"/>
            <w:vAlign w:val="top"/>
          </w:tcPr>
          <w:p>
            <w:r>
              <w:t>PyMuPDF extrai texto dos PDFs de demonstração.</w:t>
            </w:r>
          </w:p>
        </w:tc>
      </w:tr>
      <w:tr>
        <w:tc>
          <w:tcPr>
            <w:tcW w:type="dxa" w:w="5040"/>
            <w:vAlign w:val="top"/>
          </w:tcPr>
          <w:p>
            <w:r>
              <w:t>Relatório comparativo</w:t>
            </w:r>
          </w:p>
        </w:tc>
        <w:tc>
          <w:tcPr>
            <w:tcW w:type="dxa" w:w="5040"/>
            <w:vAlign w:val="top"/>
          </w:tcPr>
          <w:p>
            <w:r>
              <w:t>ReportLab gera PDF não vazio com a tabela de comparação.</w:t>
            </w:r>
          </w:p>
        </w:tc>
      </w:tr>
    </w:tbl>
    <w:p>
      <w:r>
        <w:t>Comando: pytest -q</w:t>
      </w:r>
    </w:p>
    <w:p>
      <w:pPr>
        <w:pStyle w:val="Heading1"/>
        <w:spacing w:before="200" w:after="100"/>
      </w:pPr>
      <w:r>
        <w:t>12. Limitações conhecidas</w:t>
      </w:r>
    </w:p>
    <w:p>
      <w:pPr>
        <w:pStyle w:val="ListBullet"/>
      </w:pPr>
      <w:r>
        <w:t>A ontologia é genérica; termos de diferentes ramos de seguro podem exigir especialização.</w:t>
      </w:r>
    </w:p>
    <w:p>
      <w:pPr>
        <w:pStyle w:val="ListBullet"/>
      </w:pPr>
      <w:r>
        <w:t>Tabelas muito complexas, documentos com múltiplas colunas e baixa qualidade de digitalização podem reduzir a extração.</w:t>
      </w:r>
    </w:p>
    <w:p>
      <w:pPr>
        <w:pStyle w:val="ListBullet"/>
      </w:pPr>
      <w:r>
        <w:t>TF-IDF não possui a mesma capacidade semântica de embeddings modernos.</w:t>
      </w:r>
    </w:p>
    <w:p>
      <w:pPr>
        <w:pStyle w:val="ListBullet"/>
      </w:pPr>
      <w:r>
        <w:t>Modelos locais pequenos podem perder nuances jurídicas em cláusulas longas.</w:t>
      </w:r>
    </w:p>
    <w:p>
      <w:pPr>
        <w:pStyle w:val="ListBullet"/>
      </w:pPr>
      <w:r>
        <w:t>A heurística de pareamento de coberturas usa similaridade textual e pode necessitar de taxonomia controlada.</w:t>
      </w:r>
    </w:p>
    <w:p>
      <w:pPr>
        <w:pStyle w:val="ListBullet"/>
      </w:pPr>
      <w:r>
        <w:t>Não existem autenticação, multiusuário, RBAC, criptografia ou alta disponibilidade no MVP.</w:t>
      </w:r>
    </w:p>
    <w:p>
      <w:pPr>
        <w:pStyle w:val="ListBullet"/>
      </w:pPr>
      <w:r>
        <w:t>O resultado deve ser validado por profissional qualificado e não constitui aconselhamento jurídico.</w:t>
      </w:r>
    </w:p>
    <w:p>
      <w:pPr>
        <w:pStyle w:val="Heading1"/>
        <w:spacing w:before="200" w:after="100"/>
      </w:pPr>
      <w:r>
        <w:t>13. Evolução futura</w:t>
      </w:r>
    </w:p>
    <w:p>
      <w:pPr>
        <w:pStyle w:val="ListBullet"/>
      </w:pPr>
      <w:r>
        <w:t>Substituir TF-IDF por embeddings multilíngues e Qdrant/pgvector.</w:t>
      </w:r>
    </w:p>
    <w:p>
      <w:pPr>
        <w:pStyle w:val="ListBullet"/>
      </w:pPr>
      <w:r>
        <w:t>Adicionar taxonomia de coberturas e exclusões por ramo de seguro.</w:t>
      </w:r>
    </w:p>
    <w:p>
      <w:pPr>
        <w:pStyle w:val="ListBullet"/>
      </w:pPr>
      <w:r>
        <w:t>Criar etapa human-in-the-loop para itens abaixo de um limiar de confiança.</w:t>
      </w:r>
    </w:p>
    <w:p>
      <w:pPr>
        <w:pStyle w:val="ListBullet"/>
      </w:pPr>
      <w:r>
        <w:t>Adicionar OCR/layout especializado para tabelas, formulários e documentos escaneados.</w:t>
      </w:r>
    </w:p>
    <w:p>
      <w:pPr>
        <w:pStyle w:val="ListBullet"/>
      </w:pPr>
      <w:r>
        <w:t>Executar extrações por página/seção em paralelo.</w:t>
      </w:r>
    </w:p>
    <w:p>
      <w:pPr>
        <w:pStyle w:val="ListBullet"/>
      </w:pPr>
      <w:r>
        <w:t>Criar benchmark com apólices rotuladas e métricas precision, recall e F1 por campo.</w:t>
      </w:r>
    </w:p>
    <w:p>
      <w:pPr>
        <w:pStyle w:val="ListBullet"/>
      </w:pPr>
      <w:r>
        <w:t>Versionar prompts, modelos e resultados para auditoria.</w:t>
      </w:r>
    </w:p>
    <w:p>
      <w:pPr>
        <w:pStyle w:val="ListBullet"/>
      </w:pPr>
      <w:r>
        <w:t>Adicionar FastAPI, autenticação, trilha de auditoria e storage seguro.</w:t>
      </w:r>
    </w:p>
    <w:p>
      <w:pPr>
        <w:pStyle w:val="ListBullet"/>
      </w:pPr>
      <w:r>
        <w:t>Adicionar exportação JSON/Excel e comparação de três ou mais apólices.</w:t>
      </w:r>
    </w:p>
    <w:p>
      <w:pPr>
        <w:pStyle w:val="ListBullet"/>
      </w:pPr>
      <w:r>
        <w:t>Adicionar perguntas em linguagem natural com RAG e evidência clicável.</w:t>
      </w:r>
    </w:p>
    <w:p>
      <w:pPr>
        <w:pStyle w:val="Heading1"/>
        <w:spacing w:before="200" w:after="100"/>
      </w:pPr>
      <w:r>
        <w:t>14. Estrutura do repositório</w:t>
      </w:r>
    </w:p>
    <w:p>
      <w:r>
        <w:rPr>
          <w:rFonts w:ascii="Consolas" w:hAnsi="Consolas"/>
          <w:sz w:val="18"/>
        </w:rPr>
        <w:t>insurance-policy-ai/</w:t>
        <w:br/>
        <w:t>├── app/</w:t>
        <w:br/>
        <w:t>│   ├── agents/</w:t>
        <w:br/>
        <w:t>│   ├── config/</w:t>
        <w:br/>
        <w:t>│   ├── models/</w:t>
        <w:br/>
        <w:t>│   ├── repositories/</w:t>
        <w:br/>
        <w:t>│   ├── services/</w:t>
        <w:br/>
        <w:t>│   └── workflows/</w:t>
        <w:br/>
        <w:t>├── frontend/</w:t>
        <w:br/>
        <w:t>├── tests/</w:t>
        <w:br/>
        <w:t>├── data/</w:t>
        <w:br/>
        <w:t>├── samples/</w:t>
        <w:br/>
        <w:t>├── docs/</w:t>
        <w:br/>
        <w:t>├── requirements.txt</w:t>
        <w:br/>
        <w:t>├── docker-compose.yml</w:t>
        <w:br/>
        <w:t>├── .env.example</w:t>
        <w:br/>
        <w:t>└── README.md</w:t>
      </w:r>
    </w:p>
    <w:p>
      <w:pPr>
        <w:pStyle w:val="Heading1"/>
        <w:spacing w:before="200" w:after="100"/>
      </w:pPr>
      <w:r>
        <w:t>15. Conclusão</w:t>
      </w:r>
    </w:p>
    <w:p>
      <w:r>
        <w:t>O MVP atende aos requisitos centrais do desafio: recebe PDFs e imagens, extrai conteúdo, utiliza IA Generativa local, estrutura dados, persiste resultados, compara pelo menos duas apólices e apresenta diferenças em uma interface demonstrável. A arquitetura modular e multiagente deixa explícito onde cada responsabilidade reside e oferece um caminho direto para incorporar embeddings, OCR avançado, governança e integrações sem reconstruir a solução.</w:t>
      </w:r>
    </w:p>
    <w:p>
      <w:pPr>
        <w:pStyle w:val="Heading1"/>
        <w:spacing w:before="200" w:after="100"/>
      </w:pPr>
      <w:r>
        <w:t>Apêndice A - Critérios de aceitação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Atendimento</w:t>
            </w:r>
          </w:p>
        </w:tc>
      </w:tr>
      <w:tr>
        <w:tc>
          <w:tcPr>
            <w:tcW w:type="dxa" w:w="5040"/>
            <w:vAlign w:val="top"/>
          </w:tcPr>
          <w:p>
            <w:r>
              <w:t>Leitura PDF/imagem</w:t>
            </w:r>
          </w:p>
        </w:tc>
        <w:tc>
          <w:tcPr>
            <w:tcW w:type="dxa" w:w="5040"/>
            <w:vAlign w:val="top"/>
          </w:tcPr>
          <w:p>
            <w:r>
              <w:t>Sim - PyMuPDF + Tesseract</w:t>
            </w:r>
          </w:p>
        </w:tc>
      </w:tr>
      <w:tr>
        <w:tc>
          <w:tcPr>
            <w:tcW w:type="dxa" w:w="5040"/>
            <w:vAlign w:val="top"/>
          </w:tcPr>
          <w:p>
            <w:r>
              <w:t>Extração automática</w:t>
            </w:r>
          </w:p>
        </w:tc>
        <w:tc>
          <w:tcPr>
            <w:tcW w:type="dxa" w:w="5040"/>
            <w:vAlign w:val="top"/>
          </w:tcPr>
          <w:p>
            <w:r>
              <w:t>Sim - OCR + LLM</w:t>
            </w:r>
          </w:p>
        </w:tc>
      </w:tr>
      <w:tr>
        <w:tc>
          <w:tcPr>
            <w:tcW w:type="dxa" w:w="5040"/>
            <w:vAlign w:val="top"/>
          </w:tcPr>
          <w:p>
            <w:r>
              <w:t>Dados estruturados</w:t>
            </w:r>
          </w:p>
        </w:tc>
        <w:tc>
          <w:tcPr>
            <w:tcW w:type="dxa" w:w="5040"/>
            <w:vAlign w:val="top"/>
          </w:tcPr>
          <w:p>
            <w:r>
              <w:t>Sim - Pydantic/JSON</w:t>
            </w:r>
          </w:p>
        </w:tc>
      </w:tr>
      <w:tr>
        <w:tc>
          <w:tcPr>
            <w:tcW w:type="dxa" w:w="5040"/>
            <w:vAlign w:val="top"/>
          </w:tcPr>
          <w:p>
            <w:r>
              <w:t>Comparação de 2 apólices</w:t>
            </w:r>
          </w:p>
        </w:tc>
        <w:tc>
          <w:tcPr>
            <w:tcW w:type="dxa" w:w="5040"/>
            <w:vAlign w:val="top"/>
          </w:tcPr>
          <w:p>
            <w:r>
              <w:t>Sim</w:t>
            </w:r>
          </w:p>
        </w:tc>
      </w:tr>
      <w:tr>
        <w:tc>
          <w:tcPr>
            <w:tcW w:type="dxa" w:w="5040"/>
            <w:vAlign w:val="top"/>
          </w:tcPr>
          <w:p>
            <w:r>
              <w:t>Diferenças ao usuário</w:t>
            </w:r>
          </w:p>
        </w:tc>
        <w:tc>
          <w:tcPr>
            <w:tcW w:type="dxa" w:w="5040"/>
            <w:vAlign w:val="top"/>
          </w:tcPr>
          <w:p>
            <w:r>
              <w:t>Sim - tabela, status e evidências</w:t>
            </w:r>
          </w:p>
        </w:tc>
      </w:tr>
      <w:tr>
        <w:tc>
          <w:tcPr>
            <w:tcW w:type="dxa" w:w="5040"/>
            <w:vAlign w:val="top"/>
          </w:tcPr>
          <w:p>
            <w:r>
              <w:t>IA Generativa</w:t>
            </w:r>
          </w:p>
        </w:tc>
        <w:tc>
          <w:tcPr>
            <w:tcW w:type="dxa" w:w="5040"/>
            <w:vAlign w:val="top"/>
          </w:tcPr>
          <w:p>
            <w:r>
              <w:t>Sim - Ollama</w:t>
            </w:r>
          </w:p>
        </w:tc>
      </w:tr>
      <w:tr>
        <w:tc>
          <w:tcPr>
            <w:tcW w:type="dxa" w:w="5040"/>
            <w:vAlign w:val="top"/>
          </w:tcPr>
          <w:p>
            <w:r>
              <w:t>Interface de demonstração</w:t>
            </w:r>
          </w:p>
        </w:tc>
        <w:tc>
          <w:tcPr>
            <w:tcW w:type="dxa" w:w="5040"/>
            <w:vAlign w:val="top"/>
          </w:tcPr>
          <w:p>
            <w:r>
              <w:t>Sim - Streamlit</w:t>
            </w:r>
          </w:p>
        </w:tc>
      </w:tr>
      <w:tr>
        <w:tc>
          <w:tcPr>
            <w:tcW w:type="dxa" w:w="5040"/>
            <w:vAlign w:val="top"/>
          </w:tcPr>
          <w:p>
            <w:r>
              <w:t>Agentes especializados</w:t>
            </w:r>
          </w:p>
        </w:tc>
        <w:tc>
          <w:tcPr>
            <w:tcW w:type="dxa" w:w="5040"/>
            <w:vAlign w:val="top"/>
          </w:tcPr>
          <w:p>
            <w:r>
              <w:t>Sim - 7 agentes + workflow</w:t>
            </w:r>
          </w:p>
        </w:tc>
      </w:tr>
      <w:tr>
        <w:tc>
          <w:tcPr>
            <w:tcW w:type="dxa" w:w="5040"/>
            <w:vAlign w:val="top"/>
          </w:tcPr>
          <w:p>
            <w:r>
              <w:t>Tratamento de erros</w:t>
            </w:r>
          </w:p>
        </w:tc>
        <w:tc>
          <w:tcPr>
            <w:tcW w:type="dxa" w:w="5040"/>
            <w:vAlign w:val="top"/>
          </w:tcPr>
          <w:p>
            <w:r>
              <w:t>Sim - validações e exceções controladas</w:t>
            </w:r>
          </w:p>
        </w:tc>
      </w:tr>
      <w:tr>
        <w:tc>
          <w:tcPr>
            <w:tcW w:type="dxa" w:w="5040"/>
            <w:vAlign w:val="top"/>
          </w:tcPr>
          <w:p>
            <w:r>
              <w:t>Credenciais ocultas</w:t>
            </w:r>
          </w:p>
        </w:tc>
        <w:tc>
          <w:tcPr>
            <w:tcW w:type="dxa" w:w="5040"/>
            <w:vAlign w:val="top"/>
          </w:tcPr>
          <w:p>
            <w:r>
              <w:t>Sim - .env/.gitignore; por padrão sem API externa</w:t>
            </w:r>
          </w:p>
        </w:tc>
      </w:tr>
      <w:tr>
        <w:tc>
          <w:tcPr>
            <w:tcW w:type="dxa" w:w="5040"/>
            <w:vAlign w:val="top"/>
          </w:tcPr>
          <w:p>
            <w:r>
              <w:t>Instruções de instalação</w:t>
            </w:r>
          </w:p>
        </w:tc>
        <w:tc>
          <w:tcPr>
            <w:tcW w:type="dxa" w:w="5040"/>
            <w:vAlign w:val="top"/>
          </w:tcPr>
          <w:p>
            <w:r>
              <w:t>Sim - README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