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v0.1</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w:t>
            </w:r>
          </w:p>
        </w:tc>
        <w:tc>
          <w:tcPr>
            <w:tcW w:type="dxa" w:w="4760"/>
            <w:tcMar>
              <w:top w:type="dxa" w:w="40"/>
              <w:left w:type="dxa" w:w="80"/>
              <w:bottom w:type="dxa" w:w="40"/>
              <w:right w:type="dxa" w:w="80"/>
            </w:tcMar>
          </w:tcPr>
          <w:p>
            <w:r>
              <w:rPr>
                <w:b w:val="false"/>
                <w:bCs w:val="false"/>
                <w:sz w:val="20"/>
                <w:szCs w:val="20"/>
              </w:rPr>
              <w:t xml:space="preserve">Transform findings.</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Bounded concurrency (ai.max_concurrency, default 4). The per-service AI calls (exploitability, threat modeling, enrichment, dedup) are independent, so the pipeline runs up to max_concurrency at once (concurrency.py, order-preserving map_workers) — compute in parallel, apply sequentially, so output stays deterministic. Latency-only (same requests, same cost), bounded to respect provider rate limits. Prompt caching is deliberately omitted: the static system prompts sit below the model's minimum cacheable-prefix size and payloads differ, so a cache breakpoint would never hit.</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and tags whether a human set it. On rescan, any manual decision or terminal closure is honored and never re-opened — analyst effort is never silently discarded.</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with four views,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w:t>
      </w:r>
    </w:p>
    <w:p>
      <w:pPr>
        <w:spacing w:after="120"/>
      </w:pPr>
      <w:r>
        <w:t xml:space="preserve">Threats: the per-service threat models (5.10) — STRIDE threats with linked findings/chains, assets, entry points, trust boundaries, posture, and recommendations.</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Optional (threat_model.enabled),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pStyle w:val="ListParagraph"/>
        <w:numPr>
          <w:ilvl w:val="0"/>
          <w:numId w:val="1"/>
        </w:numPr>
        <w:spacing w:after="40"/>
      </w:pPr>
      <w:r>
        <w:t xml:space="preserve">What leaves the environment — the exploitability engine sends finding metadata (titles, CVEs, package coordinates, descriptions, deterministic signals) to the Anthropic API, not source code. Stricter deployments can run --no-ai (fully deterministic) or route to an approved Anthropic deployment.</w:t>
      </w:r>
    </w:p>
    <w:p>
      <w:pPr>
        <w:pStyle w:val="ListParagraph"/>
        <w:numPr>
          <w:ilvl w:val="0"/>
          <w:numId w:val="1"/>
        </w:numPr>
        <w:spacing w:after="40"/>
      </w:pPr>
      <w:r>
        <w:t xml:space="preserve">Secrets — all credentials are injected via env vars / ${ENV} interpolation; none are committed. .gitignore excludes .env and generated output.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Records are written to file first, then pushed; the file is the durable artifact.</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batching or the Batches API is the natural next step for very large estates.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concurrency — per-service calls run with bounded parallelism (ai.max_concurrency); the Batches API would cut cost a further ~50% for non-latency-sensitive runs.</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No auth on the web UI; add authn/authz before exposing it beyond a trusted network.</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w:t>
      </w:r>
    </w:p>
    <w:p>
      <w:pPr>
        <w:pStyle w:val="ListParagraph"/>
        <w:numPr>
          <w:ilvl w:val="0"/>
          <w:numId w:val="1"/>
        </w:numPr>
        <w:spacing w:after="40"/>
      </w:pPr>
      <w:r>
        <w:t xml:space="preserve">Web API (tests/test_web.py) — FastAPI TestClient over state, scan, state-change (persisted across rescan), validation, and ServiceNow endpoints.</w:t>
      </w:r>
    </w:p>
    <w:p>
      <w:pPr>
        <w:pStyle w:val="ListParagraph"/>
        <w:numPr>
          <w:ilvl w:val="0"/>
          <w:numId w:val="1"/>
        </w:numPr>
        <w:spacing w:after="40"/>
      </w:pPr>
      <w:r>
        <w:t xml:space="preserve">All tests run offline with no Anthropic key; AI stages are validated by contract (schema) rather than live calls.</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and auto_route (silent adaptive tier selection).</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928347ec65ff1f595184322602197461bbb0d4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2026-07-09T23:33:31.889Z</dcterms:created>
  <dcterms:modified xsi:type="dcterms:W3CDTF">2026-07-09T23:33:31.904Z</dcterms:modified>
</cp:coreProperties>
</file>

<file path=docProps/custom.xml><?xml version="1.0" encoding="utf-8"?>
<Properties xmlns="http://schemas.openxmlformats.org/officeDocument/2006/custom-properties" xmlns:vt="http://schemas.openxmlformats.org/officeDocument/2006/docPropsVTypes"/>
</file>