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and freezes a machine-belief snapshot — the risk score, AI exploitability score, EPSS, KEV, reachability, severity, and repo the pipeline held at record time, plus a decided_at timestamp.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legacy (pre-snapshot) entries loading cleanly.</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and the empty-store zeroed report; endpoint coverage in test_web.py.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score prior: enabled, max_adjust, min_evidence.</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2026-07-10T07:28:38.441Z</dcterms:created>
  <dcterms:modified xsi:type="dcterms:W3CDTF">2026-07-10T07:28:38.442Z</dcterms:modified>
</cp:coreProperties>
</file>

<file path=docProps/custom.xml><?xml version="1.0" encoding="utf-8"?>
<Properties xmlns="http://schemas.openxmlformats.org/officeDocument/2006/custom-properties" xmlns:vt="http://schemas.openxmlformats.org/officeDocument/2006/docPropsVTypes"/>
</file>