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v0.2</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 feedback.py, calibration.py</w:t>
            </w:r>
          </w:p>
        </w:tc>
        <w:tc>
          <w:tcPr>
            <w:tcW w:type="dxa" w:w="4760"/>
            <w:tcMar>
              <w:top w:type="dxa" w:w="40"/>
              <w:left w:type="dxa" w:w="80"/>
              <w:bottom w:type="dxa" w:w="40"/>
              <w:right w:type="dxa" w:w="80"/>
            </w:tcMar>
          </w:tcPr>
          <w:p>
            <w:r>
              <w:rPr>
                <w:b w:val="false"/>
                <w:bCs w:val="false"/>
                <w:sz w:val="20"/>
                <w:szCs w:val="20"/>
              </w:rPr>
              <w:t xml:space="preserve">Transform findings; calibrate from feedback; grade score calibration.</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Triage history as a grounded fact (feedback.prompt_history, default on) — a finding's digest gains prior_analyst_decisions: counts of how this org's analysts triaged similar findings (same CWE family / component), built from the state store (TriageHistory). The system prompt frames it as organizational context, not a verdict — weighed where it transfers, noted in the rationale, never overriding KEV or reachability. Complements the post-hoc score prior (5.7a) by putting the same ground truth into the reasoning.</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data residency (ai.inference_geo us/eu, threaded onto Anthropic first-party requests); and Fable's 30-day data-retention requirement — under zero data retention Anthropic 400s Fable, which the provider re-raises with actionable guidance (route to Opus 4.8). Fable also can't use the Batches API, so batch mode keeps Fable tasks synchronous.</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tags whether a human set it, freezes a machine-belief snapshot — the risk score, AI exploitability score, EPSS, KEV, reachability, severity, and repo the pipeline held at record time — plus a decided_at timestamp and the analyst's optional one-line note (why). Manual entries are never overwritten by machine records, so an analyst decision keeps the prediction it was made against — the ground truth the calibration report (5.7b) grades.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 Pre-snapshot entries still load: the file store tolerates absent keys and the SQL store applies ADD COLUMN migrations on open. Attack chains have a lifecycle too: analysts confirm or dismiss a chain (new / confirmed / false_positive), persisted under a chain:&lt;fingerprint&gt; key — the fingerprint hashes the chain's finding set, stable across runs where model-assigned chain ids are not — and re-applied on every scan. A dismissed chain stays in the result (visible, reversible) but is excluded from scoring, threat modeling, and the ServiceNow export; finding-oriented consumers (feedback prior, calibration) skip chain keys.</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a finding never adjusts itself, only accuracy states count (not risk_accepted/resolved), it moves only the machine score (never the analyst's state), and a KEV finding is never pushed below kev_floor. Evidence is weighted, not just counted — delta = max_adjust * (W+ - W-) / (W+ + W- + shrinkage), each decision's weight decayed by age (halving every half_life_days) and boosted when made in the same repo as the new finding (same_repo_boost); the shrinkage pseudo-count limits the influence of small samples (two unanimous decisions produce a small adjustment; twenty approach the cap). Each adjusted finding records the reason in its rationale + a feedback-adjusted tag, and the scan's audit event carries the adjusted count. The same history also reaches the model directly: TriageHistory packages per-finding confirmed/false-positive counts — plus up to three most-recent analyst notes labeled with their outcome — for the exploitability prompt (5.4, feedback.prompt_history). The notes make the history transferable: 'false_positive: vendored test fixture' tells the model when the precedent applies, where a bare count can't. The two mechanisms are complementary — the prompt context lets the model reason with the org's ground truth (and discount it when it doesn't transfer), while the score prior remains a deterministic, bounded backstop that works even when the AI stage is off.</w:t>
      </w:r>
    </w:p>
    <w:p>
      <w:pPr>
        <w:pStyle w:val="Heading2"/>
        <w:spacing w:after="80" w:before="180"/>
      </w:pPr>
      <w:r>
        <w:t xml:space="preserve">5.7b Calibration report (calibration.py)</w:t>
      </w:r>
    </w:p>
    <w:p>
      <w:pPr>
        <w:spacing w:after="120"/>
      </w:pPr>
      <w:r>
        <w:t xml:space="preserve">The feedback prior adapts scores; the calibration report measures whether the scores were right to begin with. It joins each manual confirmed / false_positive decision to the machine-belief snapshot frozen with it (5.7) and reports: the confirm rate by predicted-score bucket (0-39 / 40-59 / 60-79 / 80-100) — rising with the bucket means the composite score predicts analyst outcomes, flat or inverted means the weights or the AI stage need work; the score separation (mean predicted score of confirmed vs false-positive decisions); and the noisiest keys — CWE families/components whose manual history is dominated by false positives (the same keys the feedback prior nudges), a concrete scanner-tuning worklist. Like the prior, it uses only accuracy states, and it is read-only — it changes nothing, it grades. Decisions persisted before snapshots existed count toward totals but cannot be bucketed (reported as unscored). Surfaced as GET /api/calibration, the UI Calibration tab, and codescan calibration on the CLI. Because the snapshot captures what the configured pipeline predicted, the report also makes provider/model routing changes (5.5) empirically comparable over time. Drift alerting (thresholds in the calibration config section) turns the pull-based report into a continuous-monitoring control: after each scan the pipeline re-grades the history and raises a calibration.drift audit event — fanning out to the SIEM sinks — when the 80-100 bucket's confirm rate falls below min_high_confirm_rate or the confirmed-vs-false-positive mean-score gap falls below min_separation; both checks stay silent below min_bucket_decisions of evidence, so a new deployment or a small number of disagreeing decisions does not trigger alerts. Alerts also surface in the Calibration tab and the CLI report.</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 the drawer's Triage section takes an optional one-line note with the decision — persisted, audited, and fed to the AI on similar findings.</w:t>
      </w:r>
    </w:p>
    <w:p>
      <w:pPr>
        <w:spacing w:after="120"/>
      </w:pPr>
      <w:r>
        <w:t xml:space="preserve">Threats: the per-service threat models (5.10) — STRIDE threats with linked findings/chains, assets, entry points, trust boundaries, posture, and recommendations.</w:t>
      </w:r>
    </w:p>
    <w:p>
      <w:pPr>
        <w:spacing w:after="120"/>
      </w:pPr>
      <w:r>
        <w:t xml:space="preserve">Calibration: the score-calibration report (5.7b) — confirm rate by predicted-score bucket, score separation, and the noisiest weakness families/components, via GET /api/calibration.</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spacing w:after="120"/>
      </w:pPr>
      <w:r>
        <w:t xml:space="preserve">The formal DFD set (context / logical / physical with trust boundaries and a per-boundary data-crossing table) is docs/DATAFLOW.md; the AI-governance control mapping is docs/GOVERNANCE.md; the change and release procedure is docs/RELEASING.md.</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Resource controls against unbounded consumption (ratelimit.py, OWASP LLM04/10) — a per-client token-bucket limiter throttles /api/* (server.rate_limit_rpm/burst, keyed by SSO actor or client IP) ahead of the token guard, so a flood is cheap to reject with 429; a per-scan ceiling (server.max_findings_per_scan) bounds the cost of any single run, keeping the highest-severity findings and recording a scan.truncated audit event when it trims. Set at startup; behind a load balancer the proxy's limiter is still preferred.</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 machine-belief snapshot capture, analyst-note round-trip, legacy (pre-snapshot) entries loading cleanly, and chain decisions (round-trip, annotation, dismissed-chain exclusion, lifecycle states rejected).</w:t>
      </w:r>
    </w:p>
    <w:p>
      <w:pPr>
        <w:pStyle w:val="ListParagraph"/>
        <w:numPr>
          <w:ilvl w:val="0"/>
          <w:numId w:val="1"/>
        </w:numPr>
        <w:spacing w:after="40"/>
      </w:pPr>
      <w:r>
        <w:t xml:space="preserve">SQL state store (tests/test_state_store_sql.py) — backend factory, round-trip/persistence (incl. snapshots), manual-not-clobbered-by-machine concurrency guard, the pre-snapshot schema upgrading in place, feedback over SQL, and a pipeline run persisting to SQLite.</w:t>
      </w:r>
    </w:p>
    <w:p>
      <w:pPr>
        <w:pStyle w:val="ListParagraph"/>
        <w:numPr>
          <w:ilvl w:val="0"/>
          <w:numId w:val="1"/>
        </w:numPr>
        <w:spacing w:after="40"/>
      </w:pPr>
      <w:r>
        <w:t xml:space="preserve">Calibration (tests/test_calibration.py) — bucket/rate math, accuracy states only, noisy-key surfacing, legacy decisions counted but unbucketed, chain decisions excluded, the empty-store zeroed report, and drift alerts (precision + separation checks, evidence gate, disabled/healthy silence); endpoint coverage in test_web.py and the scan-time calibration.drift audit event in test_pipeline.py.</w:t>
      </w:r>
    </w:p>
    <w:p>
      <w:pPr>
        <w:pStyle w:val="ListParagraph"/>
        <w:numPr>
          <w:ilvl w:val="0"/>
          <w:numId w:val="1"/>
        </w:numPr>
        <w:spacing w:after="40"/>
      </w:pPr>
      <w:r>
        <w:t xml:space="preserve">Enterprise / Fable 5 (tests/test_enterprise.py) — inference_geo threaded onto requests, Fable's data-retention 400 re-raised actionably, and the enterprise config profile routing deep tasks to Fable / mechanical to Haiku.</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 evidence weighting (shrinkage growth, time decay, same-repo boost), and TriageHistory prompt-context counts and analyst notes (labeled, capped).</w:t>
      </w:r>
    </w:p>
    <w:p>
      <w:pPr>
        <w:pStyle w:val="ListParagraph"/>
        <w:numPr>
          <w:ilvl w:val="0"/>
          <w:numId w:val="1"/>
        </w:numPr>
        <w:spacing w:after="40"/>
      </w:pPr>
      <w:r>
        <w:t xml:space="preserve">Exploitability engine (tests/test_exploitability.py) — fake-LLM prompt assembly: results applied to findings/chains, prior_analyst_decisions carried with the right counts, omitted when there's no history or the feature is off.</w:t>
      </w:r>
    </w:p>
    <w:p>
      <w:pPr>
        <w:pStyle w:val="ListParagraph"/>
        <w:numPr>
          <w:ilvl w:val="0"/>
          <w:numId w:val="1"/>
        </w:numPr>
        <w:spacing w:after="40"/>
      </w:pPr>
      <w:r>
        <w:t xml:space="preserve">Web API (tests/test_web.py) — FastAPI TestClient over state, scan, state-change (persisted across rescan), validation, ServiceNow, and the API-token guard.</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and builds the image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auto_route (silent adaptive tier selection), batch (Message Batches API, ~50% cost), and inference_geo (Anthropic data residency).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loop: enabled, max_adjust, min_evidence, shrinkage, half_life_days, same_repo_boost (score prior), prompt_history (triage history into the AI prompt).</w:t>
      </w:r>
    </w:p>
    <w:p>
      <w:pPr>
        <w:pStyle w:val="ListParagraph"/>
        <w:numPr>
          <w:ilvl w:val="0"/>
          <w:numId w:val="1"/>
        </w:numPr>
        <w:spacing w:after="40"/>
      </w:pPr>
      <w:r>
        <w:t xml:space="preserve">calibration — drift alerting: alerts_enabled, min_bucket_decisions, min_high_confirm_rate, min_separation.</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2026-07-11T02:33:06.577Z</dcterms:created>
  <dcterms:modified xsi:type="dcterms:W3CDTF">2026-07-11T02:33:06.577Z</dcterms:modified>
</cp:coreProperties>
</file>

<file path=docProps/custom.xml><?xml version="1.0" encoding="utf-8"?>
<Properties xmlns="http://schemas.openxmlformats.org/officeDocument/2006/custom-properties" xmlns:vt="http://schemas.openxmlformats.org/officeDocument/2006/docPropsVTypes"/>
</file>