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and tags whether a human set it.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scales with consensus, a finding never adjusts itself, only accuracy states count (not risk_accepted/resolved), it moves only the machine score (never the analyst's state), and a KEV finding is never pushed below kev_floor. Each adjusted finding records the reason in its rationale + a feedback-adjusted tag, and the scan's audit event carries the adjusted count.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four views,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w:t>
      </w:r>
    </w:p>
    <w:p>
      <w:pPr>
        <w:pStyle w:val="ListParagraph"/>
        <w:numPr>
          <w:ilvl w:val="0"/>
          <w:numId w:val="1"/>
        </w:numPr>
        <w:spacing w:after="40"/>
      </w:pPr>
      <w:r>
        <w:t xml:space="preserve">SQL state store (tests/test_state_store_sql.py) — backend factory, round-trip/persistence, manual-not-clobbered-by-machine concurrency guard, feedback over SQL, and a pipeline run persisting to SQLite.</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score prior: enabled, max_adjust, min_evidence.</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2026-07-10T04:11:57.849Z</dcterms:created>
  <dcterms:modified xsi:type="dcterms:W3CDTF">2026-07-10T04:11:57.851Z</dcterms:modified>
</cp:coreProperties>
</file>

<file path=docProps/custom.xml><?xml version="1.0" encoding="utf-8"?>
<Properties xmlns="http://schemas.openxmlformats.org/officeDocument/2006/custom-properties" xmlns:vt="http://schemas.openxmlformats.org/officeDocument/2006/docPropsVTypes"/>
</file>