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sticky).</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cheap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on-prem REST API builds the repo inventory (scan surface).</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sticky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cheap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95287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w:t>
            </w:r>
          </w:p>
        </w:tc>
        <w:tc>
          <w:tcPr>
            <w:tcW w:type="dxa" w:w="4760"/>
            <w:tcMar>
              <w:top w:type="dxa" w:w="40"/>
              <w:left w:type="dxa" w:w="80"/>
              <w:bottom w:type="dxa" w:w="40"/>
              <w:right w:type="dxa" w:w="80"/>
            </w:tcMar>
          </w:tcPr>
          <w:p>
            <w:r>
              <w:rPr>
                <w:b w:val="false"/>
                <w:bCs w:val="false"/>
                <w:sz w:val="20"/>
                <w:szCs w:val="20"/>
              </w:rPr>
              <w:t xml:space="preserve">Talk to external systems; emit/consume raw scanner shapes.</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w:t>
            </w:r>
          </w:p>
        </w:tc>
        <w:tc>
          <w:tcPr>
            <w:tcW w:type="dxa" w:w="4760"/>
            <w:tcMar>
              <w:top w:type="dxa" w:w="40"/>
              <w:left w:type="dxa" w:w="80"/>
              <w:bottom w:type="dxa" w:w="40"/>
              <w:right w:type="dxa" w:w="80"/>
            </w:tcMar>
          </w:tcPr>
          <w:p>
            <w:r>
              <w:rPr>
                <w:b w:val="false"/>
                <w:bCs w:val="false"/>
                <w:sz w:val="20"/>
                <w:szCs w:val="20"/>
              </w:rPr>
              <w:t xml:space="preserve">Model routing + structured-output client.</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three extend a shared HttpClient (bearer auth, retry/backoff on 429/5xx, paging). Each has two ingestion paths: fetch() for a live API pull and from_file() for a native scanner export. The offline path is not just for demos — it makes the pipeline runnable in CI, in tests, and against archived scan data with zero credentials. Repo mapping (Snyk projects / Xray builds back to Bitbucket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cheap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cheap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(llm.py)</w:t>
      </w:r>
    </w:p>
    <w:p>
      <w:pPr>
        <w:spacing w:after="120"/>
      </w:pPr>
      <w:r>
        <w:t xml:space="preserve">Different tasks need different intelligence tiers. ModelRouter resolves a task name to a ModelSpec (model + effort + token budget); LLMClient adapts each request to the model's capabilities so callers never have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"same vuln?"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 corroboration bonus (+2 when both scanners agree), and a threat boost — an additive bonus (up to threat_boost, default 15) for findings implicated by the service threat model, scaled by the stronger of the finding's threat signal and its service posture (5.10). Additive, so runs without threat modeling aren't penalized; threats also enrich the exploitability dimension directly.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Stickiness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three views. Findings: the triage queue with filters, signal badges, a per-finding detail drawer (CVSS vector, EPSS, reachability, provenance, rationale, remediation, tags, threats, chains), and inline validation-state editing that persists to the sticky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default AI tier, per-task model routing, enrichment toggles, threat-modeling toggle, scoring weights, and the ServiceNow push flag. Secrets are shown masked and read-only (they stay in the environment). Edits apply to the next scan and persist to config.overrides.json, layered over the base config on restart; POST is validated server-side and rejected with 400 on bad input.</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Optional (threat_model.enabled),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then consumes the threat signal (exploitability dimension) and the per-service risk posture (additive threat boost).</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Sticky,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engine sends finding metadata (titles, CVEs, package coordinates, descriptions, deterministic signals) to the Anthropic API, not source code. Stricter deployments can run --no-ai (fully deterministic) or route to an approved Anthropic deployment.</w:t>
      </w:r>
    </w:p>
    <w:p>
      <w:pPr>
        <w:pStyle w:val="ListParagraph"/>
        <w:numPr>
          <w:ilvl w:val="0"/>
          <w:numId w:val="1"/>
        </w:numPr>
        <w:spacing w:after="40"/>
      </w:pPr>
      <w:r>
        <w:t xml:space="preserve">Secrets — all credentials are injected via env vars / ${ENV} interpolation; none are committed. .gitignore excludes .env and generated output.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Records are written to file first, then pushed; the file is the durable artifact.</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Cheap-tier routing keeps mechanical calls inexpensive.</w:t>
      </w:r>
    </w:p>
    <w:p>
      <w:pPr>
        <w:pStyle w:val="ListParagraph"/>
        <w:numPr>
          <w:ilvl w:val="0"/>
          <w:numId w:val="1"/>
        </w:numPr>
        <w:spacing w:after="40"/>
      </w:pPr>
      <w:r>
        <w:t xml:space="preserve">Horizontal path: the per-service AI calls are embarrassingly parallel; batching or the Batches API is the natural next step for very large estates.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AI concurrency — per-service calls are serial today; parallelizing or the Batches API would cut wall-clock time.</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No auth on the web UI; add authn/authz before exposing it beyond a trusted network.</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sticky closures.</w:t>
      </w:r>
    </w:p>
    <w:p>
      <w:pPr>
        <w:pStyle w:val="ListParagraph"/>
        <w:numPr>
          <w:ilvl w:val="0"/>
          <w:numId w:val="1"/>
        </w:numPr>
        <w:spacing w:after="40"/>
      </w:pPr>
      <w:r>
        <w:t xml:space="preserve">Model router (tests/test_llm_router.py) — pure resolution logic (Haiku default, fallback, override precedence, partial-override inheritance).</w:t>
      </w:r>
    </w:p>
    <w:p>
      <w:pPr>
        <w:pStyle w:val="ListParagraph"/>
        <w:numPr>
          <w:ilvl w:val="0"/>
          <w:numId w:val="1"/>
        </w:numPr>
        <w:spacing w:after="40"/>
      </w:pPr>
      <w:r>
        <w:t xml:space="preserve">Web API (tests/test_web.py) — FastAPI TestClient over state, scan, state-change (sticky across rescan), validation, and ServiceNow endpoints.</w:t>
      </w:r>
    </w:p>
    <w:p>
      <w:pPr>
        <w:pStyle w:val="ListParagraph"/>
        <w:numPr>
          <w:ilvl w:val="0"/>
          <w:numId w:val="1"/>
        </w:numPr>
        <w:spacing w:after="40"/>
      </w:pPr>
      <w:r>
        <w:t xml:space="preserve">All tests run offline with no Anthropic key; AI stages are validated by contract (schema) rather than live calls.</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(tasks.dedup, tasks.exploitability).</w:t>
      </w:r>
    </w:p>
    <w:p>
      <w:pPr>
        <w:pStyle w:val="ListParagraph"/>
        <w:numPr>
          <w:ilvl w:val="0"/>
          <w:numId w:val="1"/>
        </w:numPr>
        <w:spacing w:after="40"/>
      </w:pPr>
      <w:r>
        <w:t xml:space="preserve">bitbucket / snyk / xray — endpoints, tokens, project scoping, TLS.</w:t>
      </w:r>
    </w:p>
    <w:p>
      <w:pPr>
        <w:pStyle w:val="ListParagraph"/>
        <w:numPr>
          <w:ilvl w:val="0"/>
          <w:numId w:val="1"/>
        </w:numPr>
        <w:spacing w:after="40"/>
      </w:pPr>
      <w:r>
        <w:t xml:space="preserve">servicenow — instance, credentials, push toggle, import table.</w:t>
      </w:r>
    </w:p>
    <w:p>
      <w:pPr>
        <w:pStyle w:val="ListParagraph"/>
        <w:numPr>
          <w:ilvl w:val="0"/>
          <w:numId w:val="1"/>
        </w:numPr>
        <w:spacing w:after="40"/>
      </w:pPr>
      <w:r>
        <w:t xml:space="preserve">enrichment — KEV/EPSS feed URLs.</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cca9da5b6223782412fa193a6e233b2cb635f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2026-07-04T21:18:54.143Z</dcterms:created>
  <dcterms:modified xsi:type="dcterms:W3CDTF">2026-07-04T21:18:54.144Z</dcterms:modified>
</cp:coreProperties>
</file>

<file path=docProps/custom.xml><?xml version="1.0" encoding="utf-8"?>
<Properties xmlns="http://schemas.openxmlformats.org/officeDocument/2006/custom-properties" xmlns:vt="http://schemas.openxmlformats.org/officeDocument/2006/docPropsVTypes"/>
</file>