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keeps thin evidence humble (two unanimous decisions nudge,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and the empty-store zeroed report; endpoint coverage in test_web.py.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2026-07-11T01:17:28.031Z</dcterms:created>
  <dcterms:modified xsi:type="dcterms:W3CDTF">2026-07-11T01:17:28.032Z</dcterms:modified>
</cp:coreProperties>
</file>

<file path=docProps/custom.xml><?xml version="1.0" encoding="utf-8"?>
<Properties xmlns="http://schemas.openxmlformats.org/officeDocument/2006/custom-properties" xmlns:vt="http://schemas.openxmlformats.org/officeDocument/2006/docPropsVTypes"/>
</file>