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Microsoft Foundry provider.</w:t>
            </w:r>
          </w:p>
        </w:tc>
      </w:tr>
    </w:tbl>
    <w:p>
      <w:pPr>
        <w:pStyle w:val="Heading1"/>
        <w:spacing w:after="120" w:before="260"/>
      </w:pPr>
      <w:r>
        <w:t xml:space="preserve">3. Architecture</w:t>
      </w:r>
    </w:p>
    <w:p>
      <w:pPr>
        <w:spacing w:after="60" w:before="80"/>
        <w:jc w:val="center"/>
      </w:pPr>
      <w:r>
        <w:drawing>
          <wp:inline distT="0" distB="0" distL="0" distR="0">
            <wp:extent cx="59436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0765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Foundry model gateway,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models per pass. openhack.pass_models routes each pass to its own model (pass i -&gt; pass_models[i % len], unset fields inheriting the openhack tier, via LLMClient.resolve_spec / ModelRouter.override). Different model families have different blind spots, so diverse passes make the union broader and the agreement more meaningful — a finding confirmed by two or more models earns a multi-model tag. Each pass is isolated: a failing model deployment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Foundry provider (llm.py, providers/)</w:t>
      </w:r>
    </w:p>
    <w:p>
      <w:pPr>
        <w:spacing w:after="120"/>
      </w:pPr>
      <w:r>
        <w:t xml:space="preserve">Every AI stage runs through the Foundry provider (providers/): all models are served by one Microsoft Azure AI Foundry resource (FOUNDRY_API_KEY + FOUNDRY_RESOURCE, or FOUNDRY_BASE_URL / AZURE_OPENAI_*; FOUNDRY_API_VERSION for classic Azure OpenAI endpoints). The model name picks the API surface: claude-* deployments use Anthropic's native Messages API on the resource (structured outputs, adaptive thinking, effort, client-side Fable refusal fallbacks); any other deployment — OpenAI GPT, Google Gemini, Mistral — uses the resource's OpenAI-compatible endpoint (JSON mode + defensive parsing). Both paths implement the same complete_json contract; SDKs are imported lazily, so they are optional deps. ModelRouter resolves a task to a ModelSpec (provider + model + effort + token budget) and LLMClient dispatches through the registry, so a task can run on any model deployment,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provider omits effort / adaptive thinking for models that don't support them (Haiku) and registers the Anthropic SDK's client-side refusal fallback for Fable/Mythos (security tooling can trip false-positive classifier refusals; the request transparently re-serves on Opus 4.8 — Foundry has no server-side fallback support).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with data residency and retention governed by the Azure region and policy of the Foundry resource; a rejected Fable request surfaces with actionable guidance (route to Opus 4.8).</w:t>
      </w:r>
    </w:p>
    <w:p>
      <w:pPr>
        <w:spacing w:after="120"/>
      </w:pPr>
      <w:r>
        <w:t xml:space="preserve">Silent adaptive routing (ai.auto_route, off by default). When enabled, each AI call is nudged up or down the Claude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Claude ladder models — custom deployment names and other model families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bounded concurrency (ai.max_concurrency, default 4) via resilient_map — up to N at once, per-item failures isolated, deterministic apply order, latency-only (same requests/cost).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registers client-side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to cut wall-clock time.</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the enterprise config profile routing deep tasks to Fable / mechanical to Haiku, with HA storage and SIEM audit wired.</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models,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21cbe789c591e9afb2504628a84b6c98ab7d7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2026-07-18T03:35:16.169Z</dcterms:created>
  <dcterms:modified xsi:type="dcterms:W3CDTF">2026-07-18T03:35:16.170Z</dcterms:modified>
</cp:coreProperties>
</file>

<file path=docProps/custom.xml><?xml version="1.0" encoding="utf-8"?>
<Properties xmlns="http://schemas.openxmlformats.org/officeDocument/2006/custom-properties" xmlns:vt="http://schemas.openxmlformats.org/officeDocument/2006/docPropsVTypes"/>
</file>