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Bounded concurrency (ai.max_concurrency, default 4). The per-service AI calls (exploitability, threat modeling, enrichment, dedup) are independent, so the pipeline runs up to max_concurrency at once (concurrency.py, order-preserving map_workers) — compute in parallel, apply sequentially, so output stays deterministic. Latency-only (same requests, same cost), bounded to respect provider rate limits. Prompt caching is deliberately omitted: the static system prompts sit below the model's minimum cacheable-prefix size and payloads differ, so a cache breakpoint would never hit.</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Records are written to file first, then pushed; the file is the durable artifact.</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batching or the Batches API is the natural next step for very large estates.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concurrency — per-service calls run with bounded parallelism (ai.max_concurrency); the Batches API would cut cost a further ~50% for non-latency-sensitive runs.</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No auth on the web UI; add authn/authz before exposing it beyond a trusted network.</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w:t>
      </w:r>
    </w:p>
    <w:p>
      <w:pPr>
        <w:pStyle w:val="ListParagraph"/>
        <w:numPr>
          <w:ilvl w:val="0"/>
          <w:numId w:val="1"/>
        </w:numPr>
        <w:spacing w:after="40"/>
      </w:pPr>
      <w:r>
        <w:t xml:space="preserve">Web API (tests/test_web.py) — FastAPI TestClient over state, scan, state-change (persisted across rescan), validation, and ServiceNow endpoints.</w:t>
      </w:r>
    </w:p>
    <w:p>
      <w:pPr>
        <w:pStyle w:val="ListParagraph"/>
        <w:numPr>
          <w:ilvl w:val="0"/>
          <w:numId w:val="1"/>
        </w:numPr>
        <w:spacing w:after="40"/>
      </w:pPr>
      <w:r>
        <w:t xml:space="preserve">All tests run offline with no Anthropic key; AI stages are validated by contract (schema) rather than live calls.</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928347ec65ff1f595184322602197461bbb0d4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2026-07-09T23:58:30.390Z</dcterms:created>
  <dcterms:modified xsi:type="dcterms:W3CDTF">2026-07-09T23:58:30.391Z</dcterms:modified>
</cp:coreProperties>
</file>

<file path=docProps/custom.xml><?xml version="1.0" encoding="utf-8"?>
<Properties xmlns="http://schemas.openxmlformats.org/officeDocument/2006/custom-properties" xmlns:vt="http://schemas.openxmlformats.org/officeDocument/2006/docPropsVTypes"/>
</file>