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v0.2</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Microsoft Foundry provider.</w:t>
            </w:r>
          </w:p>
        </w:tc>
      </w:tr>
    </w:tbl>
    <w:p>
      <w:pPr>
        <w:pStyle w:val="Heading1"/>
        <w:spacing w:after="120" w:before="260"/>
      </w:pPr>
      <w:r>
        <w:t xml:space="preserve">3. Architecture</w:t>
      </w:r>
    </w:p>
    <w:p>
      <w:pPr>
        <w:spacing w:after="60" w:before="80"/>
        <w:jc w:val="center"/>
      </w:pPr>
      <w:r>
        <w:drawing>
          <wp:inline distT="0" distB="0" distL="0" distR="0">
            <wp:extent cx="59436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2861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Foundry model gateway,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models per pass. openhack.pass_models routes each pass to its own model (pass i -&gt; pass_models[i % len], unset fields inheriting the openhack tier, via LLMClient.resolve_spec / ModelRouter.override). Different model families have different blind spots, so diverse passes make the union broader and the agreement more meaningful — a finding confirmed by two or more models earns a multi-model tag. Each pass is isolated: a failing model deployment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 Each finding source is used only when its credentials are present — an unconfigured source is skipped (logged, not an error), so a scan runs on whichever sources are wired up, including a whitebox-only scan (scan --whitebox) that reviews a GitHub repo's source with the built-in OpenHack engine using just an Anthropic key, a GitHub token, and git. GitHub's api_url defaults to api.github.com when unset.</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Foundry provider (llm.py, providers/)</w:t>
      </w:r>
    </w:p>
    <w:p>
      <w:pPr>
        <w:spacing w:after="120"/>
      </w:pPr>
      <w:r>
        <w:t xml:space="preserve">Every AI stage runs through the Foundry provider (providers/): all models are served by one Microsoft Azure AI Foundry resource (FOUNDRY_API_KEY + FOUNDRY_RESOURCE, or FOUNDRY_BASE_URL / AZURE_OPENAI_*; FOUNDRY_API_VERSION for classic Azure OpenAI endpoints). The model name picks the API surface: claude-* deployments use Anthropic's native Messages API on the resource (structured outputs, adaptive thinking, effort, client-side Fable refusal fallbacks); any other deployment — OpenAI GPT, Mistral — uses the resource's OpenAI-compatible endpoint (JSON mode + defensive parsing). Both paths implement the same complete_json contract; SDKs are imported lazily, so they are optional deps. ModelRouter resolves a task to a ModelSpec (provider + model + effort + token budget) and LLMClient dispatches through the registry, so a task can run on any model deployment,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provider omits effort / adaptive thinking for models that don't support them (Haiku), retries with the schema prompted instead of enforced when a Foundry workspace rejects structured outputs (beta there, per model/workspace), and registers the Anthropic SDK's client-side refusal fallback for Fable/Mythos (security tooling can trip false-positive classifier refusals; the request transparently re-serves on Opus 4.8 — Foundry has no server-side fallback support).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with data residency and retention governed by the Azure region and policy of the Foundry resource; a rejected Fable request surfaces with actionable guidance (route to Opus 4.8).</w:t>
      </w:r>
    </w:p>
    <w:p>
      <w:pPr>
        <w:spacing w:after="120"/>
      </w:pPr>
      <w:r>
        <w:t xml:space="preserve">Silent adaptive routing (ai.auto_route, off by default). When enabled, each AI call is nudged up or down the Claude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Claude ladder models — custom deployment names and other model families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bounded concurrency (ai.max_concurrency, default 4) via resilient_map — up to N at once, per-item failures isolated, deterministic apply order, latency-only (same requests/cost).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limits the influence of small samples (two unanimous decisions produce a small adjustment;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 Drift alerting (thresholds in the calibration config section) turns the pull-based report into a continuous-monitoring control: after each scan the pipeline re-grades the history and raises a calibration.drift audit event — fanning out to the SIEM sinks — when the 80-100 bucket's confirm rate falls below min_high_confirm_rate or the confirmed-vs-false-positive mean-score gap falls below min_separation; both checks stay silent below min_bucket_decisions of evidence, so a new deployment or a small number of disagreeing decisions does not trigger alerts. Alerts also surface in the Calibration tab and the CLI report.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Model suggestions are the Foundry resource's live deployment list (fetched with the inference API key, cached five minutes; a curated static list when the resource isn't reachable).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and the request can carry one-shot GitHub targets (repos: ["owner/name", ...], plus whitebox for a built-in OpenHack source review — the UI equivalent of scan --repo/--whitebox): the run is scoped on a deep copy of the config, so the server's configured source is untouched; malformed targets or whitebox without AI return 400.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spacing w:after="120"/>
      </w:pPr>
      <w:r>
        <w:t xml:space="preserve">The formal DFD set (context / logical / physical with trust boundaries and a per-boundary data-crossing table) is docs/DATAFLOW.md; the AI-governance control mapping is docs/GOVERNANCE.md; the change and release procedure is docs/RELEASING.md.</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registers client-side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Resource controls against unbounded consumption (ratelimit.py, OWASP LLM04/10) — a per-client token-bucket limiter throttles /api/* (server.rate_limit_rpm/burst, keyed by SSO actor or client IP) ahead of the token guard, so a flood is cheap to reject with 429; a per-scan ceiling (server.max_findings_per_scan) bounds the cost of any single run, keeping the highest-severity findings and recording a scan.truncated audit event when it trims. Set at startup; behind a load balancer the proxy's limiter is still preferred.</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to cut wall-clock time.</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chain decisions excluded, the empty-store zeroed report, and drift alerts (precision + separation checks, evidence gate, disabled/healthy silence); endpoint coverage in test_web.py and the scan-time calibration.drift audit event in test_pipeline.py.</w:t>
      </w:r>
    </w:p>
    <w:p>
      <w:pPr>
        <w:pStyle w:val="ListParagraph"/>
        <w:numPr>
          <w:ilvl w:val="0"/>
          <w:numId w:val="1"/>
        </w:numPr>
        <w:spacing w:after="40"/>
      </w:pPr>
      <w:r>
        <w:t xml:space="preserve">Enterprise / Fable 5 (tests/test_enterprise.py) — the enterprise config profile routing deep tasks to Fable / mechanical to Haiku, with HA storage and SIEM audit wired.</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the API-token guard, and rate limiting (429 on flood, healthz unthrottled, limiter wrapping auth so bad-token brute-force is throttled).</w:t>
      </w:r>
    </w:p>
    <w:p>
      <w:pPr>
        <w:pStyle w:val="ListParagraph"/>
        <w:numPr>
          <w:ilvl w:val="0"/>
          <w:numId w:val="1"/>
        </w:numPr>
        <w:spacing w:after="40"/>
      </w:pPr>
      <w:r>
        <w:t xml:space="preserve">Rate limiter (tests/test_ratelimit.py) — token-bucket burst/refill, per-client isolation, idle eviction.</w:t>
      </w:r>
    </w:p>
    <w:p>
      <w:pPr>
        <w:pStyle w:val="ListParagraph"/>
        <w:numPr>
          <w:ilvl w:val="0"/>
          <w:numId w:val="1"/>
        </w:numPr>
        <w:spacing w:after="40"/>
      </w:pPr>
      <w:r>
        <w:t xml:space="preserve">CLI wiring (tests/test_cli.py) — --whitebox enables the built-in OpenHack engine for the target repo and is rejected with --no-ai.</w:t>
      </w:r>
    </w:p>
    <w:p>
      <w:pPr>
        <w:pStyle w:val="ListParagraph"/>
        <w:numPr>
          <w:ilvl w:val="0"/>
          <w:numId w:val="1"/>
        </w:numPr>
        <w:spacing w:after="40"/>
      </w:pPr>
      <w:r>
        <w:t xml:space="preserve">Live CLI smoke (tests/test_cli_live.py) — opt-in, excluded from the offline gate (skips unless CODESCAN_LIVE_TEST=1): loads .env, picks a Claude deployment that exists on the Foundry resource, and runs the real codescan scan CLI over the fixtures with the AI stages live — proving the CLI -&gt; pipeline -&gt; Foundry -&gt; ServiceNow-export path end to end.</w:t>
      </w:r>
    </w:p>
    <w:p>
      <w:pPr>
        <w:pStyle w:val="ListParagraph"/>
        <w:numPr>
          <w:ilvl w:val="0"/>
          <w:numId w:val="1"/>
        </w:numPr>
        <w:spacing w:after="40"/>
      </w:pPr>
      <w:r>
        <w:t xml:space="preserve">Adversarial / robustness (tests/test_security.py) — the ATLAS-aligned threat model's guards: injection text carried as data only, a hostile model response can't invent findings or inflate scores (id allow-listing, score clamping, enum fallback), poisoned feedback stays within the cap and never overrides the KEV floor.</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builds the image, and runs a supply-chain job (pip-audit dependency scan + CycloneDX SBOM artifact)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and auto_route (silent adaptive tier selection).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models,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calibration — drift alerting: alerts_enabled, min_bucket_decisions, min_high_confirm_rate, min_separation.</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6b4254feb04f82ddb3fcd33605f30fd5b4f01f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2026-07-18T04:56:44.048Z</dcterms:created>
  <dcterms:modified xsi:type="dcterms:W3CDTF">2026-07-18T04:56:44.049Z</dcterms:modified>
</cp:coreProperties>
</file>

<file path=docProps/custom.xml><?xml version="1.0" encoding="utf-8"?>
<Properties xmlns="http://schemas.openxmlformats.org/officeDocument/2006/custom-properties" xmlns:vt="http://schemas.openxmlformats.org/officeDocument/2006/docPropsVTypes"/>
</file>