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and tags whether a human set it. On rescan, any manual decision or terminal closure is honored and never re-opened — analyst effort is never silently discarded.</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scales with consensus, a finding never adjusts itself, only accuracy states count (not risk_accepted/resolved), it moves only the machine score (never the analyst's state), and a KEV finding is never pushed below kev_floor. Each adjusted finding records the reason in its rationale + a feedback-adjusted tag, and the scan's audit event carries the adjusted count.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four views,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(audit.py) — scan runs, config changes, and validation-state changes are appended to a JSONL file with an actor + UTC timestamp: a durable decision record for monitoring/auditing, distinct from operational logs. Actor is best-effort from an SSO/reverse-proxy identity header (X-Remote-User / X-Forwarded-User); surfaced in the UI Audit tab and GET /api/audit.</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and web actor-attributed config/state events via GET /api/audit.</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and auto_route (silent adaptive tier selection).</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score prior: enabled, max_adjust, min_evidence.</w:t>
      </w:r>
    </w:p>
    <w:p>
      <w:pPr>
        <w:pStyle w:val="ListParagraph"/>
        <w:numPr>
          <w:ilvl w:val="0"/>
          <w:numId w:val="1"/>
        </w:numPr>
        <w:spacing w:after="40"/>
      </w:pPr>
      <w:r>
        <w:t xml:space="preserve">audit — append-only JSONL audit log: enabled, path.</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2026-07-10T03:49:05.700Z</dcterms:created>
  <dcterms:modified xsi:type="dcterms:W3CDTF">2026-07-10T03:49:05.700Z</dcterms:modified>
</cp:coreProperties>
</file>

<file path=docProps/custom.xml><?xml version="1.0" encoding="utf-8"?>
<Properties xmlns="http://schemas.openxmlformats.org/officeDocument/2006/custom-properties" xmlns:vt="http://schemas.openxmlformats.org/officeDocument/2006/docPropsVTypes"/>
</file>