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v0.2</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Resource controls against unbounded consumption (ratelimit.py, OWASP LLM04/10) — a per-client token-bucket limiter throttles /api/* (server.rate_limit_rpm/burst, keyed by SSO actor or client IP) ahead of the token guard, so a flood is cheap to reject with 429; a per-scan ceiling (server.max_findings_per_scan) bounds the cost of any single run, keeping the highest-severity findings and recording a scan.truncated audit event when it trims. Set at startup; behind a load balancer the proxy's limiter is still preferred.</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the API-token guard, and rate limiting (429 on flood, healthz unthrottled).</w:t>
      </w:r>
    </w:p>
    <w:p>
      <w:pPr>
        <w:pStyle w:val="ListParagraph"/>
        <w:numPr>
          <w:ilvl w:val="0"/>
          <w:numId w:val="1"/>
        </w:numPr>
        <w:spacing w:after="40"/>
      </w:pPr>
      <w:r>
        <w:t xml:space="preserve">Rate limiter (tests/test_ratelimit.py) — token-bucket burst/refill, per-client isolation, idle eviction.</w:t>
      </w:r>
    </w:p>
    <w:p>
      <w:pPr>
        <w:pStyle w:val="ListParagraph"/>
        <w:numPr>
          <w:ilvl w:val="0"/>
          <w:numId w:val="1"/>
        </w:numPr>
        <w:spacing w:after="40"/>
      </w:pPr>
      <w:r>
        <w:t xml:space="preserve">Adversarial / robustness (tests/test_security.py) — the ATLAS-aligned threat model's guards: injection text carried as data only, a hostile model response can't invent findings or inflate scores (id allow-listing, score clamping, enum fallback), poisoned feedback stays within the cap and never overrides the KEV floor.</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2026-07-11T02:36:37.651Z</dcterms:created>
  <dcterms:modified xsi:type="dcterms:W3CDTF">2026-07-11T02:36:37.651Z</dcterms:modified>
</cp:coreProperties>
</file>

<file path=docProps/custom.xml><?xml version="1.0" encoding="utf-8"?>
<Properties xmlns="http://schemas.openxmlformats.org/officeDocument/2006/custom-properties" xmlns:vt="http://schemas.openxmlformats.org/officeDocument/2006/docPropsVTypes"/>
</file>