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Bounded concurrency (ai.max_concurrency, default 4). The per-service AI calls (exploitability, threat modeling, enrichment, dedup) are independent, so the pipeline runs up to max_concurrency at once (concurrency.py, order-preserving map_workers) — compute in parallel, apply sequentially, so output stays deterministic. Latency-only (same requests, same cost), bounded to respect provider rate limits. Prompt caching is deliberately omitted: the static system prompts sit below the model's minimum cacheable-prefix size and payloads differ, so a cache breakpoint would never hit.</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and tags whether a human set it. On rescan, any manual decision or terminal closure is honored and never re-opened — analyst effort is never silently discarded.</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with four views,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batching or the Batches API is the natural next step for very large estates.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concurrency — per-service calls run with bounded parallelism (ai.max_concurrency); the Batches API would cut cost a further ~50% for non-latency-sensitive runs.</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and auto_route (silent adaptive tier selection).</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928347ec65ff1f595184322602197461bbb0d4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2026-07-10T00:31:31.626Z</dcterms:created>
  <dcterms:modified xsi:type="dcterms:W3CDTF">2026-07-10T00:31:31.627Z</dcterms:modified>
</cp:coreProperties>
</file>

<file path=docProps/custom.xml><?xml version="1.0" encoding="utf-8"?>
<Properties xmlns="http://schemas.openxmlformats.org/officeDocument/2006/custom-properties" xmlns:vt="http://schemas.openxmlformats.org/officeDocument/2006/docPropsVTypes"/>
</file>