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v0.1</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sticky).</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cheap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on-prem REST API builds the repo inventory (scan surface).</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sticky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cheap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95287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w:t>
            </w:r>
          </w:p>
        </w:tc>
        <w:tc>
          <w:tcPr>
            <w:tcW w:type="dxa" w:w="4760"/>
            <w:tcMar>
              <w:top w:type="dxa" w:w="40"/>
              <w:left w:type="dxa" w:w="80"/>
              <w:bottom w:type="dxa" w:w="40"/>
              <w:right w:type="dxa" w:w="80"/>
            </w:tcMar>
          </w:tcPr>
          <w:p>
            <w:r>
              <w:rPr>
                <w:b w:val="false"/>
                <w:bCs w:val="false"/>
                <w:sz w:val="20"/>
                <w:szCs w:val="20"/>
              </w:rPr>
              <w:t xml:space="preserve">Talk to external systems; emit/consume raw scanner shapes.</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w:t>
            </w:r>
          </w:p>
        </w:tc>
        <w:tc>
          <w:tcPr>
            <w:tcW w:type="dxa" w:w="4760"/>
            <w:tcMar>
              <w:top w:type="dxa" w:w="40"/>
              <w:left w:type="dxa" w:w="80"/>
              <w:bottom w:type="dxa" w:w="40"/>
              <w:right w:type="dxa" w:w="80"/>
            </w:tcMar>
          </w:tcPr>
          <w:p>
            <w:r>
              <w:rPr>
                <w:b w:val="false"/>
                <w:bCs w:val="false"/>
                <w:sz w:val="20"/>
                <w:szCs w:val="20"/>
              </w:rPr>
              <w:t xml:space="preserve">Transform findings.</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w:t>
            </w:r>
          </w:p>
        </w:tc>
        <w:tc>
          <w:tcPr>
            <w:tcW w:type="dxa" w:w="4760"/>
            <w:tcMar>
              <w:top w:type="dxa" w:w="40"/>
              <w:left w:type="dxa" w:w="80"/>
              <w:bottom w:type="dxa" w:w="40"/>
              <w:right w:type="dxa" w:w="80"/>
            </w:tcMar>
          </w:tcPr>
          <w:p>
            <w:r>
              <w:rPr>
                <w:b w:val="false"/>
                <w:bCs w:val="false"/>
                <w:sz w:val="20"/>
                <w:szCs w:val="20"/>
              </w:rPr>
              <w:t xml:space="preserve">Model routing + structured-output client.</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three extend a shared HttpClient (bearer auth, retry/backoff on 429/5xx, paging). Each has two ingestion paths: fetch() for a live API pull and from_file() for a native scanner export. The offline path is not just for demos — it makes the pipeline runnable in CI, in tests, and against archived scan data with zero credentials. Repo mapping (Snyk projects / Xray builds back to Bitbucket repos) is the documented integration point to harden for production.</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cheap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(deterministic signals)</w:t>
      </w:r>
    </w:p>
    <w:p>
      <w:pPr>
        <w:spacing w:after="120"/>
      </w:pPr>
      <w:r>
        <w:t xml:space="preserve">enrich/enricher.py attaches three grounded facts before the LLM runs: CISA KEV (actively exploited?), FIRST EPSS (exploitation probability, batched), and reachability (heuristic over scanner metadata; True/False/unknown). These run first because they are cheap and authoritative, and because the LLM should reason over them rather than recall CVE trivia.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(llm.py)</w:t>
      </w:r>
    </w:p>
    <w:p>
      <w:pPr>
        <w:spacing w:after="120"/>
      </w:pPr>
      <w:r>
        <w:t xml:space="preserve">Different tasks need different intelligence tiers. ModelRouter resolves a task name to a ModelSpec (model + effort + token budget); LLMClient adapts each request to the model's capabilities so callers never have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"same vuln?"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Two overrides on top of the blend: a KEV floor (anything actively exploited is floored to 85 — exploited-in-the-wild outweighs modelling) and a corroboration bonus (+2 when both scanners agree). This reordering is what makes the queue useful: an unreachable critical drops below a reachable, chainable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Stickiness is the important property: the StateStore persists each decision keyed by fingerprint and tags whether a human set it. On re-scan, any manual decision or terminal closure is honored and never re-opened — analyst effort is never silently discarded.</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or POSTed to the import table via the Table API.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The dashboard is the triage queue with filters, signal badges, a per-finding detail drawer (CVSS vector, EPSS, reachability, provenance, rationale, chains), and inline validation-state editing that persists to the sticky store.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Sticky,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pStyle w:val="ListParagraph"/>
        <w:numPr>
          <w:ilvl w:val="0"/>
          <w:numId w:val="1"/>
        </w:numPr>
        <w:spacing w:after="40"/>
      </w:pPr>
      <w:r>
        <w:t xml:space="preserve">What leaves the environment — the exploitability engine sends finding metadata (titles, CVEs, package coordinates, descriptions, deterministic signals) to the Anthropic API, not source code. Stricter deployments can run --no-ai (fully deterministic) or route to an approved Anthropic deployment.</w:t>
      </w:r>
    </w:p>
    <w:p>
      <w:pPr>
        <w:pStyle w:val="ListParagraph"/>
        <w:numPr>
          <w:ilvl w:val="0"/>
          <w:numId w:val="1"/>
        </w:numPr>
        <w:spacing w:after="40"/>
      </w:pPr>
      <w:r>
        <w:t xml:space="preserve">Secrets — all credentials are injected via env vars / ${ENV} interpolation; none are committed. .gitignore excludes .env and generated output.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Records are written to file first, then pushed; the file is the durable artifact.</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Cheap-tier routing keeps mechanical calls inexpensive.</w:t>
      </w:r>
    </w:p>
    <w:p>
      <w:pPr>
        <w:pStyle w:val="ListParagraph"/>
        <w:numPr>
          <w:ilvl w:val="0"/>
          <w:numId w:val="1"/>
        </w:numPr>
        <w:spacing w:after="40"/>
      </w:pPr>
      <w:r>
        <w:t xml:space="preserve">Horizontal path: the per-service AI calls are embarrassingly parallel; batching or the Batches API is the natural next step for very large estates.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AI concurrency — per-service calls are serial today; parallelizing or the Batches API would cut wall-clock time.</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No auth on the web UI; add authn/authz before exposing it beyond a trusted network.</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sticky closures.</w:t>
      </w:r>
    </w:p>
    <w:p>
      <w:pPr>
        <w:pStyle w:val="ListParagraph"/>
        <w:numPr>
          <w:ilvl w:val="0"/>
          <w:numId w:val="1"/>
        </w:numPr>
        <w:spacing w:after="40"/>
      </w:pPr>
      <w:r>
        <w:t xml:space="preserve">Model router (tests/test_llm_router.py) — pure resolution logic (Haiku default, fallback, override precedence, partial-override inheritance).</w:t>
      </w:r>
    </w:p>
    <w:p>
      <w:pPr>
        <w:pStyle w:val="ListParagraph"/>
        <w:numPr>
          <w:ilvl w:val="0"/>
          <w:numId w:val="1"/>
        </w:numPr>
        <w:spacing w:after="40"/>
      </w:pPr>
      <w:r>
        <w:t xml:space="preserve">Web API (tests/test_web.py) — FastAPI TestClient over state, scan, state-change (sticky across rescan), validation, and ServiceNow endpoints.</w:t>
      </w:r>
    </w:p>
    <w:p>
      <w:pPr>
        <w:pStyle w:val="ListParagraph"/>
        <w:numPr>
          <w:ilvl w:val="0"/>
          <w:numId w:val="1"/>
        </w:numPr>
        <w:spacing w:after="40"/>
      </w:pPr>
      <w:r>
        <w:t xml:space="preserve">All tests run offline with no Anthropic key; AI stages are validated by contract (schema) rather than live calls.</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(tasks.dedup, tasks.exploitability).</w:t>
      </w:r>
    </w:p>
    <w:p>
      <w:pPr>
        <w:pStyle w:val="ListParagraph"/>
        <w:numPr>
          <w:ilvl w:val="0"/>
          <w:numId w:val="1"/>
        </w:numPr>
        <w:spacing w:after="40"/>
      </w:pPr>
      <w:r>
        <w:t xml:space="preserve">bitbucket / snyk / xray — endpoints, tokens, project scoping, TLS.</w:t>
      </w:r>
    </w:p>
    <w:p>
      <w:pPr>
        <w:pStyle w:val="ListParagraph"/>
        <w:numPr>
          <w:ilvl w:val="0"/>
          <w:numId w:val="1"/>
        </w:numPr>
        <w:spacing w:after="40"/>
      </w:pPr>
      <w:r>
        <w:t xml:space="preserve">servicenow — instance, credentials, push toggle, import table.</w:t>
      </w:r>
    </w:p>
    <w:p>
      <w:pPr>
        <w:pStyle w:val="ListParagraph"/>
        <w:numPr>
          <w:ilvl w:val="0"/>
          <w:numId w:val="1"/>
        </w:numPr>
        <w:spacing w:after="40"/>
      </w:pPr>
      <w:r>
        <w:t xml:space="preserve">enrichment — KEV/EPSS feed URLs.</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6689af6f71e83316e83b6c7ac16b178b1d51a9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2026-07-04T08:51:32.613Z</dcterms:created>
  <dcterms:modified xsi:type="dcterms:W3CDTF">2026-07-04T08:51:32.614Z</dcterms:modified>
</cp:coreProperties>
</file>

<file path=docProps/custom.xml><?xml version="1.0" encoding="utf-8"?>
<Properties xmlns="http://schemas.openxmlformats.org/officeDocument/2006/custom-properties" xmlns:vt="http://schemas.openxmlformats.org/officeDocument/2006/docPropsVTypes"/>
</file>